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Blank"/>
        <w:tblpPr w:topFromText="284" w:vertAnchor="text" w:horzAnchor="page" w:tblpX="568" w:tblpY="1"/>
        <w:tblOverlap w:val="never"/>
        <w:tblW w:w="10773" w:type="dxa"/>
        <w:tblBorders>
          <w:top w:val="single" w:sz="18" w:space="0" w:color="auto"/>
          <w:left w:val="single" w:sz="18" w:space="0" w:color="auto"/>
          <w:bottom w:val="single" w:sz="18" w:space="0" w:color="auto"/>
          <w:right w:val="single" w:sz="18" w:space="0" w:color="auto"/>
        </w:tblBorders>
        <w:tblLayout w:type="fixed"/>
        <w:tblLook w:val="04A0" w:firstRow="1" w:lastRow="0" w:firstColumn="1" w:lastColumn="0" w:noHBand="0" w:noVBand="1"/>
      </w:tblPr>
      <w:tblGrid>
        <w:gridCol w:w="10773"/>
      </w:tblGrid>
      <w:tr w:rsidR="00695AF9" w:rsidRPr="00EB1572" w14:paraId="2654CA31" w14:textId="77777777" w:rsidTr="00BA3887">
        <w:tc>
          <w:tcPr>
            <w:tcW w:w="10773" w:type="dxa"/>
          </w:tcPr>
          <w:p w14:paraId="2654CA2E" w14:textId="3619A5B4" w:rsidR="00EC0725" w:rsidRPr="0042500F" w:rsidRDefault="00EC0725" w:rsidP="0042500F">
            <w:pPr>
              <w:pStyle w:val="TypedeRapport"/>
              <w:spacing w:before="480" w:after="480"/>
              <w:ind w:left="794" w:right="794"/>
              <w:jc w:val="left"/>
              <w:rPr>
                <w:lang w:val="en-US"/>
              </w:rPr>
            </w:pPr>
          </w:p>
          <w:sdt>
            <w:sdtPr>
              <w:alias w:val="DocTitle"/>
              <w:tag w:val="DocTitle"/>
              <w:id w:val="-1746411367"/>
              <w:placeholder>
                <w:docPart w:val="CB593D189AD8453C81A72B74760BBDE2"/>
              </w:placeholder>
            </w:sdtPr>
            <w:sdtContent>
              <w:p w14:paraId="2654CA2F" w14:textId="5A0FE66A" w:rsidR="00EC0725" w:rsidRDefault="002C5C0A" w:rsidP="00B21475">
                <w:pPr>
                  <w:pStyle w:val="Titredurapport"/>
                  <w:rPr>
                    <w:lang w:val="fr-FR"/>
                  </w:rPr>
                </w:pPr>
                <w:r w:rsidRPr="00FC78D0">
                  <w:rPr>
                    <w:lang w:val="fr-FR"/>
                  </w:rPr>
                  <w:t>L</w:t>
                </w:r>
                <w:r w:rsidR="00BA3887">
                  <w:rPr>
                    <w:lang w:val="fr-FR"/>
                  </w:rPr>
                  <w:t>a place et le</w:t>
                </w:r>
                <w:r w:rsidRPr="00FC78D0">
                  <w:rPr>
                    <w:lang w:val="fr-FR"/>
                  </w:rPr>
                  <w:t xml:space="preserve"> rôle de la recherche publique dans l’adaptation au changement climatique</w:t>
                </w:r>
              </w:p>
            </w:sdtContent>
          </w:sdt>
          <w:p w14:paraId="2654CA30" w14:textId="77777777" w:rsidR="00495A9F" w:rsidRPr="00495A9F" w:rsidRDefault="00495A9F" w:rsidP="0098080C">
            <w:pPr>
              <w:pStyle w:val="Datedepublication"/>
            </w:pPr>
          </w:p>
        </w:tc>
      </w:tr>
      <w:tr w:rsidR="00695AF9" w:rsidRPr="00EB1572" w14:paraId="2654CA33" w14:textId="77777777" w:rsidTr="00BA3887">
        <w:trPr>
          <w:trHeight w:val="2268"/>
        </w:trPr>
        <w:tc>
          <w:tcPr>
            <w:tcW w:w="10773" w:type="dxa"/>
            <w:vAlign w:val="bottom"/>
          </w:tcPr>
          <w:p w14:paraId="2654CA32" w14:textId="0D234142" w:rsidR="00EC0725" w:rsidRPr="000E329F" w:rsidRDefault="00615921" w:rsidP="008B28C2">
            <w:pPr>
              <w:pStyle w:val="Exercices"/>
              <w:spacing w:before="480" w:after="480"/>
              <w:ind w:left="794" w:right="794"/>
              <w:rPr>
                <w:b/>
                <w:lang w:val="fr-FR"/>
              </w:rPr>
            </w:pPr>
            <w:bookmarkStart w:id="0" w:name="_Hlk145409614"/>
            <w:r>
              <w:rPr>
                <w:b/>
                <w:lang w:val="fr-FR"/>
              </w:rPr>
              <w:t>CAHIER RELATIF AUX MÉTHODES ET DONNÉES</w:t>
            </w:r>
            <w:r>
              <w:rPr>
                <w:b/>
                <w:lang w:val="fr-FR"/>
              </w:rPr>
              <w:br/>
              <w:t>EN COMPLEMENT DE L’INSERTION</w:t>
            </w:r>
            <w:bookmarkEnd w:id="0"/>
          </w:p>
        </w:tc>
      </w:tr>
      <w:tr w:rsidR="00294BD6" w:rsidRPr="00EB1572" w14:paraId="2654CA36" w14:textId="77777777" w:rsidTr="00BA3887">
        <w:trPr>
          <w:trHeight w:val="2268"/>
          <w:hidden/>
        </w:trPr>
        <w:tc>
          <w:tcPr>
            <w:tcW w:w="10773" w:type="dxa"/>
            <w:vAlign w:val="bottom"/>
          </w:tcPr>
          <w:p w14:paraId="2654CA35" w14:textId="21D2A12B" w:rsidR="00EC0725" w:rsidRPr="00EB3A89" w:rsidRDefault="009C0838" w:rsidP="0042500F">
            <w:pPr>
              <w:pStyle w:val="Lgal1"/>
              <w:jc w:val="center"/>
              <w:rPr>
                <w:b/>
                <w:lang w:val="fr-FR"/>
              </w:rPr>
            </w:pPr>
            <w:sdt>
              <w:sdtPr>
                <w:rPr>
                  <w:b/>
                  <w:vanish/>
                </w:rPr>
                <w:alias w:val="CPnotes1"/>
                <w:tag w:val="CPnotes1"/>
                <w:id w:val="-381866081"/>
                <w:placeholder>
                  <w:docPart w:val="AE5014BD2A13487C93096668F4FDF678"/>
                </w:placeholder>
                <w15:appearance w15:val="hidden"/>
              </w:sdtPr>
              <w:sdtContent>
                <w:r w:rsidR="004763C1" w:rsidRPr="00EB3A89">
                  <w:rPr>
                    <w:b/>
                    <w:vanish/>
                    <w:lang w:val="fr-FR"/>
                  </w:rPr>
                  <w:t xml:space="preserve"> </w:t>
                </w:r>
              </w:sdtContent>
            </w:sdt>
          </w:p>
        </w:tc>
      </w:tr>
    </w:tbl>
    <w:p w14:paraId="2654CA38" w14:textId="77777777" w:rsidR="00B03A7B" w:rsidRDefault="00B03A7B" w:rsidP="00EC0725">
      <w:pPr>
        <w:sectPr w:rsidR="00B03A7B" w:rsidSect="00C27C72">
          <w:headerReference w:type="even" r:id="rId14"/>
          <w:headerReference w:type="default" r:id="rId15"/>
          <w:footerReference w:type="even" r:id="rId16"/>
          <w:footerReference w:type="default" r:id="rId17"/>
          <w:footerReference w:type="first" r:id="rId18"/>
          <w:pgSz w:w="11906" w:h="16838" w:code="9"/>
          <w:pgMar w:top="1701" w:right="1418" w:bottom="1701" w:left="1418" w:header="567" w:footer="567" w:gutter="0"/>
          <w:pgNumType w:start="1"/>
          <w:cols w:space="708"/>
          <w:docGrid w:linePitch="360"/>
        </w:sectPr>
      </w:pPr>
    </w:p>
    <w:sdt>
      <w:sdtPr>
        <w:rPr>
          <w:rFonts w:eastAsia="Times New Roman" w:cstheme="minorBidi"/>
          <w:szCs w:val="22"/>
        </w:rPr>
        <w:alias w:val="Avant Propos"/>
        <w:tag w:val="Avant Propos"/>
        <w:id w:val="143329330"/>
        <w:placeholder>
          <w:docPart w:val="CB593D189AD8453C81A72B74760BBDE2"/>
        </w:placeholder>
        <w15:appearance w15:val="hidden"/>
      </w:sdtPr>
      <w:sdtEndPr>
        <w:rPr>
          <w:rFonts w:eastAsiaTheme="majorEastAsia" w:cstheme="majorBidi"/>
          <w:szCs w:val="28"/>
        </w:rPr>
      </w:sdtEndPr>
      <w:sdtContent>
        <w:p w14:paraId="2654CA40" w14:textId="0FF6A1C8" w:rsidR="00C05699" w:rsidRDefault="00C05699" w:rsidP="00845310">
          <w:pPr>
            <w:pStyle w:val="TITRENONNUMROT"/>
            <w:sectPr w:rsidR="00C05699" w:rsidSect="00562F35">
              <w:headerReference w:type="default" r:id="rId19"/>
              <w:footerReference w:type="default" r:id="rId20"/>
              <w:headerReference w:type="first" r:id="rId21"/>
              <w:pgSz w:w="11906" w:h="16838" w:code="9"/>
              <w:pgMar w:top="1701" w:right="1418" w:bottom="1701" w:left="1418" w:header="567" w:footer="567" w:gutter="0"/>
              <w:pgNumType w:start="2"/>
              <w:cols w:space="708"/>
              <w:docGrid w:linePitch="360"/>
            </w:sectPr>
          </w:pPr>
        </w:p>
        <w:p w14:paraId="2654CA41" w14:textId="05D09A1C" w:rsidR="004B74FB" w:rsidRDefault="00A81507" w:rsidP="00E82502">
          <w:pPr>
            <w:pStyle w:val="TITRENONNUMROT"/>
          </w:pPr>
          <w:bookmarkStart w:id="1" w:name="_Toc160528281"/>
          <w:r>
            <w:lastRenderedPageBreak/>
            <w:t>T</w:t>
          </w:r>
          <w:r w:rsidR="00E82502">
            <w:t>ABLE DES MATI</w:t>
          </w:r>
          <w:r w:rsidR="00E82502" w:rsidRPr="006B188E">
            <w:t>È</w:t>
          </w:r>
          <w:r w:rsidR="00E82502">
            <w:t>RES</w:t>
          </w:r>
        </w:p>
      </w:sdtContent>
    </w:sdt>
    <w:bookmarkEnd w:id="1" w:displacedByCustomXml="prev"/>
    <w:p w14:paraId="221E6B1C" w14:textId="33C3A8DE" w:rsidR="00845310" w:rsidRDefault="00DF3F73">
      <w:pPr>
        <w:pStyle w:val="TM8"/>
        <w:rPr>
          <w:rFonts w:asciiTheme="minorHAnsi" w:eastAsiaTheme="minorEastAsia" w:hAnsiTheme="minorHAnsi"/>
          <w:b w:val="0"/>
          <w:caps w:val="0"/>
          <w:sz w:val="22"/>
          <w:lang w:eastAsia="fr-FR"/>
        </w:rPr>
      </w:pPr>
      <w:r w:rsidRPr="00E82502">
        <w:rPr>
          <w:rFonts w:asciiTheme="majorHAnsi" w:hAnsiTheme="majorHAnsi"/>
          <w:caps w:val="0"/>
        </w:rPr>
        <w:fldChar w:fldCharType="begin"/>
      </w:r>
      <w:r w:rsidR="004B74FB" w:rsidRPr="00E82502">
        <w:rPr>
          <w:caps w:val="0"/>
        </w:rPr>
        <w:instrText xml:space="preserve"> TOC \o "1-</w:instrText>
      </w:r>
      <w:r w:rsidR="00EC3F83" w:rsidRPr="00E82502">
        <w:rPr>
          <w:caps w:val="0"/>
        </w:rPr>
        <w:instrText>4</w:instrText>
      </w:r>
      <w:r w:rsidR="004B74FB" w:rsidRPr="00E82502">
        <w:rPr>
          <w:caps w:val="0"/>
        </w:rPr>
        <w:instrText>" \h \z \t "Titre non numéroté;</w:instrText>
      </w:r>
      <w:r w:rsidR="00A869D0" w:rsidRPr="00E82502">
        <w:rPr>
          <w:caps w:val="0"/>
        </w:rPr>
        <w:instrText>8</w:instrText>
      </w:r>
      <w:r w:rsidR="004B74FB" w:rsidRPr="00E82502">
        <w:rPr>
          <w:caps w:val="0"/>
        </w:rPr>
        <w:instrText>;</w:instrText>
      </w:r>
      <w:r w:rsidR="00EC3F83" w:rsidRPr="00E82502">
        <w:rPr>
          <w:caps w:val="0"/>
        </w:rPr>
        <w:instrText>Annexes;8</w:instrText>
      </w:r>
      <w:r w:rsidR="004B74FB" w:rsidRPr="00E82502">
        <w:rPr>
          <w:caps w:val="0"/>
        </w:rPr>
        <w:instrText xml:space="preserve">" </w:instrText>
      </w:r>
      <w:r w:rsidRPr="00E82502">
        <w:rPr>
          <w:rFonts w:asciiTheme="majorHAnsi" w:hAnsiTheme="majorHAnsi"/>
          <w:caps w:val="0"/>
        </w:rPr>
        <w:fldChar w:fldCharType="separate"/>
      </w:r>
      <w:hyperlink w:anchor="_Toc160528281" w:history="1">
        <w:r w:rsidR="00845310" w:rsidRPr="00EB44C9">
          <w:rPr>
            <w:rStyle w:val="Lienhypertexte"/>
          </w:rPr>
          <w:t>TABLE DES MATIÈRES</w:t>
        </w:r>
        <w:r w:rsidR="00845310">
          <w:rPr>
            <w:webHidden/>
          </w:rPr>
          <w:tab/>
        </w:r>
        <w:r w:rsidR="00845310">
          <w:rPr>
            <w:webHidden/>
          </w:rPr>
          <w:fldChar w:fldCharType="begin"/>
        </w:r>
        <w:r w:rsidR="00845310">
          <w:rPr>
            <w:webHidden/>
          </w:rPr>
          <w:instrText xml:space="preserve"> PAGEREF _Toc160528281 \h </w:instrText>
        </w:r>
        <w:r w:rsidR="00845310">
          <w:rPr>
            <w:webHidden/>
          </w:rPr>
        </w:r>
        <w:r w:rsidR="00845310">
          <w:rPr>
            <w:webHidden/>
          </w:rPr>
          <w:fldChar w:fldCharType="separate"/>
        </w:r>
        <w:r w:rsidR="00845310">
          <w:rPr>
            <w:webHidden/>
          </w:rPr>
          <w:t>3</w:t>
        </w:r>
        <w:r w:rsidR="00845310">
          <w:rPr>
            <w:webHidden/>
          </w:rPr>
          <w:fldChar w:fldCharType="end"/>
        </w:r>
      </w:hyperlink>
    </w:p>
    <w:p w14:paraId="03FFE64B" w14:textId="7A3584AC" w:rsidR="00845310" w:rsidRDefault="009C0838">
      <w:pPr>
        <w:pStyle w:val="TM8"/>
        <w:rPr>
          <w:rFonts w:asciiTheme="minorHAnsi" w:eastAsiaTheme="minorEastAsia" w:hAnsiTheme="minorHAnsi"/>
          <w:b w:val="0"/>
          <w:caps w:val="0"/>
          <w:sz w:val="22"/>
          <w:lang w:eastAsia="fr-FR"/>
        </w:rPr>
      </w:pPr>
      <w:hyperlink w:anchor="_Toc160528282" w:history="1">
        <w:r w:rsidR="00845310" w:rsidRPr="00EB44C9">
          <w:rPr>
            <w:rStyle w:val="Lienhypertexte"/>
          </w:rPr>
          <w:t>CAHIER RELATIF AUX MÉTHODES ET DONNÉES</w:t>
        </w:r>
        <w:r w:rsidR="00845310">
          <w:rPr>
            <w:webHidden/>
          </w:rPr>
          <w:tab/>
        </w:r>
        <w:r w:rsidR="00845310">
          <w:rPr>
            <w:webHidden/>
          </w:rPr>
          <w:fldChar w:fldCharType="begin"/>
        </w:r>
        <w:r w:rsidR="00845310">
          <w:rPr>
            <w:webHidden/>
          </w:rPr>
          <w:instrText xml:space="preserve"> PAGEREF _Toc160528282 \h </w:instrText>
        </w:r>
        <w:r w:rsidR="00845310">
          <w:rPr>
            <w:webHidden/>
          </w:rPr>
        </w:r>
        <w:r w:rsidR="00845310">
          <w:rPr>
            <w:webHidden/>
          </w:rPr>
          <w:fldChar w:fldCharType="separate"/>
        </w:r>
        <w:r w:rsidR="00845310">
          <w:rPr>
            <w:webHidden/>
          </w:rPr>
          <w:t>4</w:t>
        </w:r>
        <w:r w:rsidR="00845310">
          <w:rPr>
            <w:webHidden/>
          </w:rPr>
          <w:fldChar w:fldCharType="end"/>
        </w:r>
      </w:hyperlink>
    </w:p>
    <w:p w14:paraId="0B328BEA" w14:textId="6ED2E0C4" w:rsidR="00845310" w:rsidRDefault="009C0838">
      <w:pPr>
        <w:pStyle w:val="TM1"/>
        <w:tabs>
          <w:tab w:val="left" w:pos="1797"/>
        </w:tabs>
        <w:rPr>
          <w:rFonts w:asciiTheme="minorHAnsi" w:eastAsiaTheme="minorEastAsia" w:hAnsiTheme="minorHAnsi"/>
          <w:sz w:val="22"/>
          <w:lang w:eastAsia="fr-FR"/>
        </w:rPr>
      </w:pPr>
      <w:hyperlink w:anchor="_Toc160528283" w:history="1">
        <w:r w:rsidR="00845310" w:rsidRPr="00EB44C9">
          <w:rPr>
            <w:rStyle w:val="Lienhypertexte"/>
          </w:rPr>
          <w:t>Annexe 1.</w:t>
        </w:r>
        <w:r w:rsidR="00845310">
          <w:rPr>
            <w:rFonts w:asciiTheme="minorHAnsi" w:eastAsiaTheme="minorEastAsia" w:hAnsiTheme="minorHAnsi"/>
            <w:sz w:val="22"/>
            <w:lang w:eastAsia="fr-FR"/>
          </w:rPr>
          <w:tab/>
        </w:r>
        <w:r w:rsidR="00845310" w:rsidRPr="00EB44C9">
          <w:rPr>
            <w:rStyle w:val="Lienhypertexte"/>
          </w:rPr>
          <w:t>Méthode d’analyse des citations des travaux du GIEC et des métadonnées associées sur des bases harmonisées</w:t>
        </w:r>
        <w:r w:rsidR="00845310">
          <w:rPr>
            <w:webHidden/>
          </w:rPr>
          <w:tab/>
        </w:r>
        <w:r w:rsidR="00845310">
          <w:rPr>
            <w:webHidden/>
          </w:rPr>
          <w:fldChar w:fldCharType="begin"/>
        </w:r>
        <w:r w:rsidR="00845310">
          <w:rPr>
            <w:webHidden/>
          </w:rPr>
          <w:instrText xml:space="preserve"> PAGEREF _Toc160528283 \h </w:instrText>
        </w:r>
        <w:r w:rsidR="00845310">
          <w:rPr>
            <w:webHidden/>
          </w:rPr>
        </w:r>
        <w:r w:rsidR="00845310">
          <w:rPr>
            <w:webHidden/>
          </w:rPr>
          <w:fldChar w:fldCharType="separate"/>
        </w:r>
        <w:r w:rsidR="00845310">
          <w:rPr>
            <w:webHidden/>
          </w:rPr>
          <w:t>5</w:t>
        </w:r>
        <w:r w:rsidR="00845310">
          <w:rPr>
            <w:webHidden/>
          </w:rPr>
          <w:fldChar w:fldCharType="end"/>
        </w:r>
      </w:hyperlink>
    </w:p>
    <w:p w14:paraId="2D2E3A1E" w14:textId="2A0B3884" w:rsidR="00845310" w:rsidRDefault="009C0838">
      <w:pPr>
        <w:pStyle w:val="TM1"/>
        <w:tabs>
          <w:tab w:val="left" w:pos="1797"/>
        </w:tabs>
        <w:rPr>
          <w:rFonts w:asciiTheme="minorHAnsi" w:eastAsiaTheme="minorEastAsia" w:hAnsiTheme="minorHAnsi"/>
          <w:sz w:val="22"/>
          <w:lang w:eastAsia="fr-FR"/>
        </w:rPr>
      </w:pPr>
      <w:hyperlink w:anchor="_Toc160528284" w:history="1">
        <w:r w:rsidR="00845310" w:rsidRPr="00EB44C9">
          <w:rPr>
            <w:rStyle w:val="Lienhypertexte"/>
          </w:rPr>
          <w:t>Annexe 2.</w:t>
        </w:r>
        <w:r w:rsidR="00845310">
          <w:rPr>
            <w:rFonts w:asciiTheme="minorHAnsi" w:eastAsiaTheme="minorEastAsia" w:hAnsiTheme="minorHAnsi"/>
            <w:sz w:val="22"/>
            <w:lang w:eastAsia="fr-FR"/>
          </w:rPr>
          <w:tab/>
        </w:r>
        <w:r w:rsidR="00845310" w:rsidRPr="00EB44C9">
          <w:rPr>
            <w:rStyle w:val="Lienhypertexte"/>
            <w:highlight w:val="lightGray"/>
          </w:rPr>
          <w:t>M</w:t>
        </w:r>
        <w:r w:rsidR="00845310" w:rsidRPr="00EB44C9">
          <w:rPr>
            <w:rStyle w:val="Lienhypertexte"/>
          </w:rPr>
          <w:t>éthode de classification fondée sur les journaux de publications et tirée des métadonnées bibliographiques du GIEC</w:t>
        </w:r>
        <w:r w:rsidR="00845310">
          <w:rPr>
            <w:webHidden/>
          </w:rPr>
          <w:tab/>
        </w:r>
        <w:r w:rsidR="00845310">
          <w:rPr>
            <w:webHidden/>
          </w:rPr>
          <w:fldChar w:fldCharType="begin"/>
        </w:r>
        <w:r w:rsidR="00845310">
          <w:rPr>
            <w:webHidden/>
          </w:rPr>
          <w:instrText xml:space="preserve"> PAGEREF _Toc160528284 \h </w:instrText>
        </w:r>
        <w:r w:rsidR="00845310">
          <w:rPr>
            <w:webHidden/>
          </w:rPr>
        </w:r>
        <w:r w:rsidR="00845310">
          <w:rPr>
            <w:webHidden/>
          </w:rPr>
          <w:fldChar w:fldCharType="separate"/>
        </w:r>
        <w:r w:rsidR="00845310">
          <w:rPr>
            <w:webHidden/>
          </w:rPr>
          <w:t>16</w:t>
        </w:r>
        <w:r w:rsidR="00845310">
          <w:rPr>
            <w:webHidden/>
          </w:rPr>
          <w:fldChar w:fldCharType="end"/>
        </w:r>
      </w:hyperlink>
    </w:p>
    <w:p w14:paraId="61786DE2" w14:textId="0CFAC54C" w:rsidR="00845310" w:rsidRDefault="009C0838">
      <w:pPr>
        <w:pStyle w:val="TM1"/>
        <w:tabs>
          <w:tab w:val="left" w:pos="1797"/>
        </w:tabs>
        <w:rPr>
          <w:rFonts w:asciiTheme="minorHAnsi" w:eastAsiaTheme="minorEastAsia" w:hAnsiTheme="minorHAnsi"/>
          <w:sz w:val="22"/>
          <w:lang w:eastAsia="fr-FR"/>
        </w:rPr>
      </w:pPr>
      <w:hyperlink w:anchor="_Toc160528285" w:history="1">
        <w:r w:rsidR="00845310" w:rsidRPr="00EB44C9">
          <w:rPr>
            <w:rStyle w:val="Lienhypertexte"/>
          </w:rPr>
          <w:t>Annexe 3.</w:t>
        </w:r>
        <w:r w:rsidR="00845310">
          <w:rPr>
            <w:rFonts w:asciiTheme="minorHAnsi" w:eastAsiaTheme="minorEastAsia" w:hAnsiTheme="minorHAnsi"/>
            <w:sz w:val="22"/>
            <w:lang w:eastAsia="fr-FR"/>
          </w:rPr>
          <w:tab/>
        </w:r>
        <w:r w:rsidR="00845310" w:rsidRPr="00EB44C9">
          <w:rPr>
            <w:rStyle w:val="Lienhypertexte"/>
          </w:rPr>
          <w:t>Méthodes sémantiques mobilisées</w:t>
        </w:r>
        <w:r w:rsidR="00845310">
          <w:rPr>
            <w:webHidden/>
          </w:rPr>
          <w:tab/>
        </w:r>
        <w:r w:rsidR="00845310">
          <w:rPr>
            <w:webHidden/>
          </w:rPr>
          <w:fldChar w:fldCharType="begin"/>
        </w:r>
        <w:r w:rsidR="00845310">
          <w:rPr>
            <w:webHidden/>
          </w:rPr>
          <w:instrText xml:space="preserve"> PAGEREF _Toc160528285 \h </w:instrText>
        </w:r>
        <w:r w:rsidR="00845310">
          <w:rPr>
            <w:webHidden/>
          </w:rPr>
        </w:r>
        <w:r w:rsidR="00845310">
          <w:rPr>
            <w:webHidden/>
          </w:rPr>
          <w:fldChar w:fldCharType="separate"/>
        </w:r>
        <w:r w:rsidR="00845310">
          <w:rPr>
            <w:webHidden/>
          </w:rPr>
          <w:t>18</w:t>
        </w:r>
        <w:r w:rsidR="00845310">
          <w:rPr>
            <w:webHidden/>
          </w:rPr>
          <w:fldChar w:fldCharType="end"/>
        </w:r>
      </w:hyperlink>
    </w:p>
    <w:p w14:paraId="641C60E6" w14:textId="4535D056" w:rsidR="00845310" w:rsidRDefault="009C0838">
      <w:pPr>
        <w:pStyle w:val="TM1"/>
        <w:tabs>
          <w:tab w:val="left" w:pos="1797"/>
        </w:tabs>
        <w:rPr>
          <w:rFonts w:asciiTheme="minorHAnsi" w:eastAsiaTheme="minorEastAsia" w:hAnsiTheme="minorHAnsi"/>
          <w:sz w:val="22"/>
          <w:lang w:eastAsia="fr-FR"/>
        </w:rPr>
      </w:pPr>
      <w:hyperlink w:anchor="_Toc160528286" w:history="1">
        <w:r w:rsidR="00845310" w:rsidRPr="00EB44C9">
          <w:rPr>
            <w:rStyle w:val="Lienhypertexte"/>
          </w:rPr>
          <w:t>Annexe 4.</w:t>
        </w:r>
        <w:r w:rsidR="00845310">
          <w:rPr>
            <w:rFonts w:asciiTheme="minorHAnsi" w:eastAsiaTheme="minorEastAsia" w:hAnsiTheme="minorHAnsi"/>
            <w:sz w:val="22"/>
            <w:lang w:eastAsia="fr-FR"/>
          </w:rPr>
          <w:tab/>
        </w:r>
        <w:r w:rsidR="00845310" w:rsidRPr="00EB44C9">
          <w:rPr>
            <w:rStyle w:val="Lienhypertexte"/>
          </w:rPr>
          <w:t>Analyse de robustesse avec les données « </w:t>
        </w:r>
        <w:r w:rsidR="00845310" w:rsidRPr="00EB44C9">
          <w:rPr>
            <w:rStyle w:val="Lienhypertexte"/>
            <w:i/>
          </w:rPr>
          <w:t>Web of Science</w:t>
        </w:r>
        <w:r w:rsidR="00845310" w:rsidRPr="00EB44C9">
          <w:rPr>
            <w:rStyle w:val="Lienhypertexte"/>
          </w:rPr>
          <w:t> » de l’ANR</w:t>
        </w:r>
        <w:r w:rsidR="00845310">
          <w:rPr>
            <w:webHidden/>
          </w:rPr>
          <w:tab/>
        </w:r>
        <w:r w:rsidR="00845310">
          <w:rPr>
            <w:webHidden/>
          </w:rPr>
          <w:fldChar w:fldCharType="begin"/>
        </w:r>
        <w:r w:rsidR="00845310">
          <w:rPr>
            <w:webHidden/>
          </w:rPr>
          <w:instrText xml:space="preserve"> PAGEREF _Toc160528286 \h </w:instrText>
        </w:r>
        <w:r w:rsidR="00845310">
          <w:rPr>
            <w:webHidden/>
          </w:rPr>
        </w:r>
        <w:r w:rsidR="00845310">
          <w:rPr>
            <w:webHidden/>
          </w:rPr>
          <w:fldChar w:fldCharType="separate"/>
        </w:r>
        <w:r w:rsidR="00845310">
          <w:rPr>
            <w:webHidden/>
          </w:rPr>
          <w:t>28</w:t>
        </w:r>
        <w:r w:rsidR="00845310">
          <w:rPr>
            <w:webHidden/>
          </w:rPr>
          <w:fldChar w:fldCharType="end"/>
        </w:r>
      </w:hyperlink>
    </w:p>
    <w:p w14:paraId="2FBE43AD" w14:textId="7C284723" w:rsidR="00845310" w:rsidRDefault="009C0838">
      <w:pPr>
        <w:pStyle w:val="TM1"/>
        <w:tabs>
          <w:tab w:val="left" w:pos="1797"/>
        </w:tabs>
        <w:rPr>
          <w:rFonts w:asciiTheme="minorHAnsi" w:eastAsiaTheme="minorEastAsia" w:hAnsiTheme="minorHAnsi"/>
          <w:sz w:val="22"/>
          <w:lang w:eastAsia="fr-FR"/>
        </w:rPr>
      </w:pPr>
      <w:hyperlink w:anchor="_Toc160528287" w:history="1">
        <w:r w:rsidR="00845310" w:rsidRPr="00EB44C9">
          <w:rPr>
            <w:rStyle w:val="Lienhypertexte"/>
          </w:rPr>
          <w:t>Annexe 5.</w:t>
        </w:r>
        <w:r w:rsidR="00845310">
          <w:rPr>
            <w:rFonts w:asciiTheme="minorHAnsi" w:eastAsiaTheme="minorEastAsia" w:hAnsiTheme="minorHAnsi"/>
            <w:sz w:val="22"/>
            <w:lang w:eastAsia="fr-FR"/>
          </w:rPr>
          <w:tab/>
        </w:r>
        <w:r w:rsidR="00845310" w:rsidRPr="00EB44C9">
          <w:rPr>
            <w:rStyle w:val="Lienhypertexte"/>
          </w:rPr>
          <w:t>Analyses de positionnement des travaux français</w:t>
        </w:r>
        <w:r w:rsidR="00845310">
          <w:rPr>
            <w:webHidden/>
          </w:rPr>
          <w:tab/>
        </w:r>
        <w:r w:rsidR="00845310">
          <w:rPr>
            <w:webHidden/>
          </w:rPr>
          <w:fldChar w:fldCharType="begin"/>
        </w:r>
        <w:r w:rsidR="00845310">
          <w:rPr>
            <w:webHidden/>
          </w:rPr>
          <w:instrText xml:space="preserve"> PAGEREF _Toc160528287 \h </w:instrText>
        </w:r>
        <w:r w:rsidR="00845310">
          <w:rPr>
            <w:webHidden/>
          </w:rPr>
        </w:r>
        <w:r w:rsidR="00845310">
          <w:rPr>
            <w:webHidden/>
          </w:rPr>
          <w:fldChar w:fldCharType="separate"/>
        </w:r>
        <w:r w:rsidR="00845310">
          <w:rPr>
            <w:webHidden/>
          </w:rPr>
          <w:t>31</w:t>
        </w:r>
        <w:r w:rsidR="00845310">
          <w:rPr>
            <w:webHidden/>
          </w:rPr>
          <w:fldChar w:fldCharType="end"/>
        </w:r>
      </w:hyperlink>
    </w:p>
    <w:p w14:paraId="313721CF" w14:textId="2BE4BAFB" w:rsidR="00845310" w:rsidRDefault="009C0838">
      <w:pPr>
        <w:pStyle w:val="TM1"/>
        <w:tabs>
          <w:tab w:val="left" w:pos="1797"/>
        </w:tabs>
        <w:rPr>
          <w:rFonts w:asciiTheme="minorHAnsi" w:eastAsiaTheme="minorEastAsia" w:hAnsiTheme="minorHAnsi"/>
          <w:sz w:val="22"/>
          <w:lang w:eastAsia="fr-FR"/>
        </w:rPr>
      </w:pPr>
      <w:hyperlink w:anchor="_Toc160528288" w:history="1">
        <w:r w:rsidR="00845310" w:rsidRPr="00EB44C9">
          <w:rPr>
            <w:rStyle w:val="Lienhypertexte"/>
          </w:rPr>
          <w:t>Annexe 6.</w:t>
        </w:r>
        <w:r w:rsidR="00845310">
          <w:rPr>
            <w:rFonts w:asciiTheme="minorHAnsi" w:eastAsiaTheme="minorEastAsia" w:hAnsiTheme="minorHAnsi"/>
            <w:sz w:val="22"/>
            <w:lang w:eastAsia="fr-FR"/>
          </w:rPr>
          <w:tab/>
        </w:r>
        <w:r w:rsidR="00845310" w:rsidRPr="00EB44C9">
          <w:rPr>
            <w:rStyle w:val="Lienhypertexte"/>
          </w:rPr>
          <w:t>Moyens financiers</w:t>
        </w:r>
        <w:r w:rsidR="00845310">
          <w:rPr>
            <w:webHidden/>
          </w:rPr>
          <w:tab/>
        </w:r>
        <w:r w:rsidR="00845310">
          <w:rPr>
            <w:webHidden/>
          </w:rPr>
          <w:fldChar w:fldCharType="begin"/>
        </w:r>
        <w:r w:rsidR="00845310">
          <w:rPr>
            <w:webHidden/>
          </w:rPr>
          <w:instrText xml:space="preserve"> PAGEREF _Toc160528288 \h </w:instrText>
        </w:r>
        <w:r w:rsidR="00845310">
          <w:rPr>
            <w:webHidden/>
          </w:rPr>
        </w:r>
        <w:r w:rsidR="00845310">
          <w:rPr>
            <w:webHidden/>
          </w:rPr>
          <w:fldChar w:fldCharType="separate"/>
        </w:r>
        <w:r w:rsidR="00845310">
          <w:rPr>
            <w:webHidden/>
          </w:rPr>
          <w:t>43</w:t>
        </w:r>
        <w:r w:rsidR="00845310">
          <w:rPr>
            <w:webHidden/>
          </w:rPr>
          <w:fldChar w:fldCharType="end"/>
        </w:r>
      </w:hyperlink>
    </w:p>
    <w:p w14:paraId="2B18D37F" w14:textId="411E2956" w:rsidR="00845310" w:rsidRDefault="009C0838">
      <w:pPr>
        <w:pStyle w:val="TM1"/>
        <w:tabs>
          <w:tab w:val="left" w:pos="1797"/>
        </w:tabs>
        <w:rPr>
          <w:rFonts w:asciiTheme="minorHAnsi" w:eastAsiaTheme="minorEastAsia" w:hAnsiTheme="minorHAnsi"/>
          <w:sz w:val="22"/>
          <w:lang w:eastAsia="fr-FR"/>
        </w:rPr>
      </w:pPr>
      <w:hyperlink w:anchor="_Toc160528289" w:history="1">
        <w:r w:rsidR="00845310" w:rsidRPr="00EB44C9">
          <w:rPr>
            <w:rStyle w:val="Lienhypertexte"/>
          </w:rPr>
          <w:t>Annexe 7.</w:t>
        </w:r>
        <w:r w:rsidR="00845310">
          <w:rPr>
            <w:rFonts w:asciiTheme="minorHAnsi" w:eastAsiaTheme="minorEastAsia" w:hAnsiTheme="minorHAnsi"/>
            <w:sz w:val="22"/>
            <w:lang w:eastAsia="fr-FR"/>
          </w:rPr>
          <w:tab/>
        </w:r>
        <w:r w:rsidR="00845310" w:rsidRPr="00EB44C9">
          <w:rPr>
            <w:rStyle w:val="Lienhypertexte"/>
          </w:rPr>
          <w:t>Viviers scientifiques</w:t>
        </w:r>
        <w:r w:rsidR="00845310">
          <w:rPr>
            <w:webHidden/>
          </w:rPr>
          <w:tab/>
        </w:r>
        <w:r w:rsidR="00845310">
          <w:rPr>
            <w:webHidden/>
          </w:rPr>
          <w:fldChar w:fldCharType="begin"/>
        </w:r>
        <w:r w:rsidR="00845310">
          <w:rPr>
            <w:webHidden/>
          </w:rPr>
          <w:instrText xml:space="preserve"> PAGEREF _Toc160528289 \h </w:instrText>
        </w:r>
        <w:r w:rsidR="00845310">
          <w:rPr>
            <w:webHidden/>
          </w:rPr>
        </w:r>
        <w:r w:rsidR="00845310">
          <w:rPr>
            <w:webHidden/>
          </w:rPr>
          <w:fldChar w:fldCharType="separate"/>
        </w:r>
        <w:r w:rsidR="00845310">
          <w:rPr>
            <w:webHidden/>
          </w:rPr>
          <w:t>56</w:t>
        </w:r>
        <w:r w:rsidR="00845310">
          <w:rPr>
            <w:webHidden/>
          </w:rPr>
          <w:fldChar w:fldCharType="end"/>
        </w:r>
      </w:hyperlink>
    </w:p>
    <w:p w14:paraId="72768C0C" w14:textId="04E239A3" w:rsidR="00845310" w:rsidRDefault="009C0838">
      <w:pPr>
        <w:pStyle w:val="TM1"/>
        <w:tabs>
          <w:tab w:val="left" w:pos="1797"/>
        </w:tabs>
        <w:rPr>
          <w:rFonts w:asciiTheme="minorHAnsi" w:eastAsiaTheme="minorEastAsia" w:hAnsiTheme="minorHAnsi"/>
          <w:sz w:val="22"/>
          <w:lang w:eastAsia="fr-FR"/>
        </w:rPr>
      </w:pPr>
      <w:hyperlink w:anchor="_Toc160528290" w:history="1">
        <w:r w:rsidR="00845310" w:rsidRPr="00EB44C9">
          <w:rPr>
            <w:rStyle w:val="Lienhypertexte"/>
          </w:rPr>
          <w:t>Annexe 8.</w:t>
        </w:r>
        <w:r w:rsidR="00845310">
          <w:rPr>
            <w:rFonts w:asciiTheme="minorHAnsi" w:eastAsiaTheme="minorEastAsia" w:hAnsiTheme="minorHAnsi"/>
            <w:sz w:val="22"/>
            <w:lang w:eastAsia="fr-FR"/>
          </w:rPr>
          <w:tab/>
        </w:r>
        <w:r w:rsidR="00845310" w:rsidRPr="00EB44C9">
          <w:rPr>
            <w:rStyle w:val="Lienhypertexte"/>
          </w:rPr>
          <w:t>Infrastructures de recherche pour l’adaptation</w:t>
        </w:r>
        <w:r w:rsidR="00845310">
          <w:rPr>
            <w:webHidden/>
          </w:rPr>
          <w:tab/>
        </w:r>
        <w:r w:rsidR="00845310">
          <w:rPr>
            <w:webHidden/>
          </w:rPr>
          <w:fldChar w:fldCharType="begin"/>
        </w:r>
        <w:r w:rsidR="00845310">
          <w:rPr>
            <w:webHidden/>
          </w:rPr>
          <w:instrText xml:space="preserve"> PAGEREF _Toc160528290 \h </w:instrText>
        </w:r>
        <w:r w:rsidR="00845310">
          <w:rPr>
            <w:webHidden/>
          </w:rPr>
        </w:r>
        <w:r w:rsidR="00845310">
          <w:rPr>
            <w:webHidden/>
          </w:rPr>
          <w:fldChar w:fldCharType="separate"/>
        </w:r>
        <w:r w:rsidR="00845310">
          <w:rPr>
            <w:webHidden/>
          </w:rPr>
          <w:t>58</w:t>
        </w:r>
        <w:r w:rsidR="00845310">
          <w:rPr>
            <w:webHidden/>
          </w:rPr>
          <w:fldChar w:fldCharType="end"/>
        </w:r>
      </w:hyperlink>
    </w:p>
    <w:p w14:paraId="48E78B31" w14:textId="76538273" w:rsidR="00845310" w:rsidRDefault="009C0838">
      <w:pPr>
        <w:pStyle w:val="TM1"/>
        <w:tabs>
          <w:tab w:val="left" w:pos="1797"/>
        </w:tabs>
        <w:rPr>
          <w:rFonts w:asciiTheme="minorHAnsi" w:eastAsiaTheme="minorEastAsia" w:hAnsiTheme="minorHAnsi"/>
          <w:sz w:val="22"/>
          <w:lang w:eastAsia="fr-FR"/>
        </w:rPr>
      </w:pPr>
      <w:hyperlink w:anchor="_Toc160528291" w:history="1">
        <w:r w:rsidR="00845310" w:rsidRPr="00EB44C9">
          <w:rPr>
            <w:rStyle w:val="Lienhypertexte"/>
          </w:rPr>
          <w:t>Annexe 9.</w:t>
        </w:r>
        <w:r w:rsidR="00845310">
          <w:rPr>
            <w:rFonts w:asciiTheme="minorHAnsi" w:eastAsiaTheme="minorEastAsia" w:hAnsiTheme="minorHAnsi"/>
            <w:sz w:val="22"/>
            <w:lang w:eastAsia="fr-FR"/>
          </w:rPr>
          <w:tab/>
        </w:r>
        <w:r w:rsidR="00845310" w:rsidRPr="00EB44C9">
          <w:rPr>
            <w:rStyle w:val="Lienhypertexte"/>
          </w:rPr>
          <w:t>Représentation de l’expertise française au sein du GIEC</w:t>
        </w:r>
        <w:r w:rsidR="00845310">
          <w:rPr>
            <w:webHidden/>
          </w:rPr>
          <w:tab/>
        </w:r>
        <w:r w:rsidR="00845310">
          <w:rPr>
            <w:webHidden/>
          </w:rPr>
          <w:fldChar w:fldCharType="begin"/>
        </w:r>
        <w:r w:rsidR="00845310">
          <w:rPr>
            <w:webHidden/>
          </w:rPr>
          <w:instrText xml:space="preserve"> PAGEREF _Toc160528291 \h </w:instrText>
        </w:r>
        <w:r w:rsidR="00845310">
          <w:rPr>
            <w:webHidden/>
          </w:rPr>
        </w:r>
        <w:r w:rsidR="00845310">
          <w:rPr>
            <w:webHidden/>
          </w:rPr>
          <w:fldChar w:fldCharType="separate"/>
        </w:r>
        <w:r w:rsidR="00845310">
          <w:rPr>
            <w:webHidden/>
          </w:rPr>
          <w:t>60</w:t>
        </w:r>
        <w:r w:rsidR="00845310">
          <w:rPr>
            <w:webHidden/>
          </w:rPr>
          <w:fldChar w:fldCharType="end"/>
        </w:r>
      </w:hyperlink>
    </w:p>
    <w:p w14:paraId="75D3A0C1" w14:textId="0AEAF121" w:rsidR="00845310" w:rsidRDefault="009C0838">
      <w:pPr>
        <w:pStyle w:val="TM1"/>
        <w:tabs>
          <w:tab w:val="left" w:pos="1797"/>
        </w:tabs>
        <w:rPr>
          <w:rFonts w:asciiTheme="minorHAnsi" w:eastAsiaTheme="minorEastAsia" w:hAnsiTheme="minorHAnsi"/>
          <w:sz w:val="22"/>
          <w:lang w:eastAsia="fr-FR"/>
        </w:rPr>
      </w:pPr>
      <w:hyperlink w:anchor="_Toc160528292" w:history="1">
        <w:r w:rsidR="00845310" w:rsidRPr="00EB44C9">
          <w:rPr>
            <w:rStyle w:val="Lienhypertexte"/>
          </w:rPr>
          <w:t>Annexe 10.</w:t>
        </w:r>
        <w:r w:rsidR="00845310">
          <w:rPr>
            <w:rFonts w:asciiTheme="minorHAnsi" w:eastAsiaTheme="minorEastAsia" w:hAnsiTheme="minorHAnsi"/>
            <w:sz w:val="22"/>
            <w:lang w:eastAsia="fr-FR"/>
          </w:rPr>
          <w:tab/>
        </w:r>
        <w:r w:rsidR="00845310" w:rsidRPr="00EB44C9">
          <w:rPr>
            <w:rStyle w:val="Lienhypertexte"/>
          </w:rPr>
          <w:t>Groupes régionaux d’expertise sur le climat</w:t>
        </w:r>
        <w:r w:rsidR="00845310">
          <w:rPr>
            <w:webHidden/>
          </w:rPr>
          <w:tab/>
        </w:r>
        <w:r w:rsidR="00845310">
          <w:rPr>
            <w:webHidden/>
          </w:rPr>
          <w:fldChar w:fldCharType="begin"/>
        </w:r>
        <w:r w:rsidR="00845310">
          <w:rPr>
            <w:webHidden/>
          </w:rPr>
          <w:instrText xml:space="preserve"> PAGEREF _Toc160528292 \h </w:instrText>
        </w:r>
        <w:r w:rsidR="00845310">
          <w:rPr>
            <w:webHidden/>
          </w:rPr>
        </w:r>
        <w:r w:rsidR="00845310">
          <w:rPr>
            <w:webHidden/>
          </w:rPr>
          <w:fldChar w:fldCharType="separate"/>
        </w:r>
        <w:r w:rsidR="00845310">
          <w:rPr>
            <w:webHidden/>
          </w:rPr>
          <w:t>61</w:t>
        </w:r>
        <w:r w:rsidR="00845310">
          <w:rPr>
            <w:webHidden/>
          </w:rPr>
          <w:fldChar w:fldCharType="end"/>
        </w:r>
      </w:hyperlink>
    </w:p>
    <w:p w14:paraId="52CAF0AB" w14:textId="10AE7028" w:rsidR="00845310" w:rsidRDefault="009C0838">
      <w:pPr>
        <w:pStyle w:val="TM1"/>
        <w:tabs>
          <w:tab w:val="left" w:pos="1797"/>
        </w:tabs>
        <w:rPr>
          <w:rFonts w:asciiTheme="minorHAnsi" w:eastAsiaTheme="minorEastAsia" w:hAnsiTheme="minorHAnsi"/>
          <w:sz w:val="22"/>
          <w:lang w:eastAsia="fr-FR"/>
        </w:rPr>
      </w:pPr>
      <w:hyperlink w:anchor="_Toc160528293" w:history="1">
        <w:r w:rsidR="00845310" w:rsidRPr="00EB44C9">
          <w:rPr>
            <w:rStyle w:val="Lienhypertexte"/>
          </w:rPr>
          <w:t>Annexe 11.</w:t>
        </w:r>
        <w:r w:rsidR="00845310">
          <w:rPr>
            <w:rFonts w:asciiTheme="minorHAnsi" w:eastAsiaTheme="minorEastAsia" w:hAnsiTheme="minorHAnsi"/>
            <w:sz w:val="22"/>
            <w:lang w:eastAsia="fr-FR"/>
          </w:rPr>
          <w:tab/>
        </w:r>
        <w:r w:rsidR="00845310" w:rsidRPr="00EB44C9">
          <w:rPr>
            <w:rStyle w:val="Lienhypertexte"/>
          </w:rPr>
          <w:t>Suivi des solutions technologiques pour l’adaptation à travers les brevets</w:t>
        </w:r>
        <w:r w:rsidR="00845310">
          <w:rPr>
            <w:webHidden/>
          </w:rPr>
          <w:tab/>
        </w:r>
        <w:r w:rsidR="00845310">
          <w:rPr>
            <w:webHidden/>
          </w:rPr>
          <w:fldChar w:fldCharType="begin"/>
        </w:r>
        <w:r w:rsidR="00845310">
          <w:rPr>
            <w:webHidden/>
          </w:rPr>
          <w:instrText xml:space="preserve"> PAGEREF _Toc160528293 \h </w:instrText>
        </w:r>
        <w:r w:rsidR="00845310">
          <w:rPr>
            <w:webHidden/>
          </w:rPr>
        </w:r>
        <w:r w:rsidR="00845310">
          <w:rPr>
            <w:webHidden/>
          </w:rPr>
          <w:fldChar w:fldCharType="separate"/>
        </w:r>
        <w:r w:rsidR="00845310">
          <w:rPr>
            <w:webHidden/>
          </w:rPr>
          <w:t>63</w:t>
        </w:r>
        <w:r w:rsidR="00845310">
          <w:rPr>
            <w:webHidden/>
          </w:rPr>
          <w:fldChar w:fldCharType="end"/>
        </w:r>
      </w:hyperlink>
    </w:p>
    <w:p w14:paraId="4E7FA0F8" w14:textId="6F2A9777" w:rsidR="00845310" w:rsidRDefault="009C0838">
      <w:pPr>
        <w:pStyle w:val="TM1"/>
        <w:tabs>
          <w:tab w:val="left" w:pos="1797"/>
        </w:tabs>
        <w:rPr>
          <w:rFonts w:asciiTheme="minorHAnsi" w:eastAsiaTheme="minorEastAsia" w:hAnsiTheme="minorHAnsi"/>
          <w:sz w:val="22"/>
          <w:lang w:eastAsia="fr-FR"/>
        </w:rPr>
      </w:pPr>
      <w:hyperlink w:anchor="_Toc160528294" w:history="1">
        <w:r w:rsidR="00845310" w:rsidRPr="00EB44C9">
          <w:rPr>
            <w:rStyle w:val="Lienhypertexte"/>
          </w:rPr>
          <w:t>Annexe 12.</w:t>
        </w:r>
        <w:r w:rsidR="00845310">
          <w:rPr>
            <w:rFonts w:asciiTheme="minorHAnsi" w:eastAsiaTheme="minorEastAsia" w:hAnsiTheme="minorHAnsi"/>
            <w:sz w:val="22"/>
            <w:lang w:eastAsia="fr-FR"/>
          </w:rPr>
          <w:tab/>
        </w:r>
        <w:r w:rsidR="00845310" w:rsidRPr="00EB44C9">
          <w:rPr>
            <w:rStyle w:val="Lienhypertexte"/>
          </w:rPr>
          <w:t>Services climatiques</w:t>
        </w:r>
        <w:r w:rsidR="00845310">
          <w:rPr>
            <w:webHidden/>
          </w:rPr>
          <w:tab/>
        </w:r>
        <w:r w:rsidR="00845310">
          <w:rPr>
            <w:webHidden/>
          </w:rPr>
          <w:fldChar w:fldCharType="begin"/>
        </w:r>
        <w:r w:rsidR="00845310">
          <w:rPr>
            <w:webHidden/>
          </w:rPr>
          <w:instrText xml:space="preserve"> PAGEREF _Toc160528294 \h </w:instrText>
        </w:r>
        <w:r w:rsidR="00845310">
          <w:rPr>
            <w:webHidden/>
          </w:rPr>
        </w:r>
        <w:r w:rsidR="00845310">
          <w:rPr>
            <w:webHidden/>
          </w:rPr>
          <w:fldChar w:fldCharType="separate"/>
        </w:r>
        <w:r w:rsidR="00845310">
          <w:rPr>
            <w:webHidden/>
          </w:rPr>
          <w:t>64</w:t>
        </w:r>
        <w:r w:rsidR="00845310">
          <w:rPr>
            <w:webHidden/>
          </w:rPr>
          <w:fldChar w:fldCharType="end"/>
        </w:r>
      </w:hyperlink>
    </w:p>
    <w:p w14:paraId="114F2390" w14:textId="65E01137" w:rsidR="00845310" w:rsidRDefault="009C0838">
      <w:pPr>
        <w:pStyle w:val="TM1"/>
        <w:tabs>
          <w:tab w:val="left" w:pos="1797"/>
        </w:tabs>
        <w:rPr>
          <w:rFonts w:asciiTheme="minorHAnsi" w:eastAsiaTheme="minorEastAsia" w:hAnsiTheme="minorHAnsi"/>
          <w:sz w:val="22"/>
          <w:lang w:eastAsia="fr-FR"/>
        </w:rPr>
      </w:pPr>
      <w:hyperlink w:anchor="_Toc160528295" w:history="1">
        <w:r w:rsidR="00845310" w:rsidRPr="00EB44C9">
          <w:rPr>
            <w:rStyle w:val="Lienhypertexte"/>
          </w:rPr>
          <w:t>Annexe 13.</w:t>
        </w:r>
        <w:r w:rsidR="00845310">
          <w:rPr>
            <w:rFonts w:asciiTheme="minorHAnsi" w:eastAsiaTheme="minorEastAsia" w:hAnsiTheme="minorHAnsi"/>
            <w:sz w:val="22"/>
            <w:lang w:eastAsia="fr-FR"/>
          </w:rPr>
          <w:tab/>
        </w:r>
        <w:r w:rsidR="00845310" w:rsidRPr="00EB44C9">
          <w:rPr>
            <w:rStyle w:val="Lienhypertexte"/>
          </w:rPr>
          <w:t>Réseau de relations sur le web associés aux services climatiques</w:t>
        </w:r>
        <w:r w:rsidR="00845310">
          <w:rPr>
            <w:webHidden/>
          </w:rPr>
          <w:tab/>
        </w:r>
        <w:r w:rsidR="00845310">
          <w:rPr>
            <w:webHidden/>
          </w:rPr>
          <w:fldChar w:fldCharType="begin"/>
        </w:r>
        <w:r w:rsidR="00845310">
          <w:rPr>
            <w:webHidden/>
          </w:rPr>
          <w:instrText xml:space="preserve"> PAGEREF _Toc160528295 \h </w:instrText>
        </w:r>
        <w:r w:rsidR="00845310">
          <w:rPr>
            <w:webHidden/>
          </w:rPr>
        </w:r>
        <w:r w:rsidR="00845310">
          <w:rPr>
            <w:webHidden/>
          </w:rPr>
          <w:fldChar w:fldCharType="separate"/>
        </w:r>
        <w:r w:rsidR="00845310">
          <w:rPr>
            <w:webHidden/>
          </w:rPr>
          <w:t>81</w:t>
        </w:r>
        <w:r w:rsidR="00845310">
          <w:rPr>
            <w:webHidden/>
          </w:rPr>
          <w:fldChar w:fldCharType="end"/>
        </w:r>
      </w:hyperlink>
    </w:p>
    <w:p w14:paraId="2413FA25" w14:textId="198C2D7F" w:rsidR="00845310" w:rsidRDefault="009C0838">
      <w:pPr>
        <w:pStyle w:val="TM1"/>
        <w:tabs>
          <w:tab w:val="left" w:pos="1797"/>
        </w:tabs>
        <w:rPr>
          <w:rFonts w:asciiTheme="minorHAnsi" w:eastAsiaTheme="minorEastAsia" w:hAnsiTheme="minorHAnsi"/>
          <w:sz w:val="22"/>
          <w:lang w:eastAsia="fr-FR"/>
        </w:rPr>
      </w:pPr>
      <w:hyperlink w:anchor="_Toc160528296" w:history="1">
        <w:r w:rsidR="00845310" w:rsidRPr="00EB44C9">
          <w:rPr>
            <w:rStyle w:val="Lienhypertexte"/>
          </w:rPr>
          <w:t>Annexe 14.</w:t>
        </w:r>
        <w:r w:rsidR="00845310">
          <w:rPr>
            <w:rFonts w:asciiTheme="minorHAnsi" w:eastAsiaTheme="minorEastAsia" w:hAnsiTheme="minorHAnsi"/>
            <w:sz w:val="22"/>
            <w:lang w:eastAsia="fr-FR"/>
          </w:rPr>
          <w:tab/>
        </w:r>
        <w:r w:rsidR="00845310" w:rsidRPr="00EB44C9">
          <w:rPr>
            <w:rStyle w:val="Lienhypertexte"/>
          </w:rPr>
          <w:t>Laboratoires cités.</w:t>
        </w:r>
        <w:r w:rsidR="00845310">
          <w:rPr>
            <w:webHidden/>
          </w:rPr>
          <w:tab/>
        </w:r>
        <w:r w:rsidR="00845310">
          <w:rPr>
            <w:webHidden/>
          </w:rPr>
          <w:fldChar w:fldCharType="begin"/>
        </w:r>
        <w:r w:rsidR="00845310">
          <w:rPr>
            <w:webHidden/>
          </w:rPr>
          <w:instrText xml:space="preserve"> PAGEREF _Toc160528296 \h </w:instrText>
        </w:r>
        <w:r w:rsidR="00845310">
          <w:rPr>
            <w:webHidden/>
          </w:rPr>
        </w:r>
        <w:r w:rsidR="00845310">
          <w:rPr>
            <w:webHidden/>
          </w:rPr>
          <w:fldChar w:fldCharType="separate"/>
        </w:r>
        <w:r w:rsidR="00845310">
          <w:rPr>
            <w:webHidden/>
          </w:rPr>
          <w:t>83</w:t>
        </w:r>
        <w:r w:rsidR="00845310">
          <w:rPr>
            <w:webHidden/>
          </w:rPr>
          <w:fldChar w:fldCharType="end"/>
        </w:r>
      </w:hyperlink>
    </w:p>
    <w:p w14:paraId="2D702513" w14:textId="26E96E87" w:rsidR="00845310" w:rsidRDefault="009C0838">
      <w:pPr>
        <w:pStyle w:val="TM1"/>
        <w:tabs>
          <w:tab w:val="left" w:pos="1797"/>
        </w:tabs>
        <w:rPr>
          <w:rFonts w:asciiTheme="minorHAnsi" w:eastAsiaTheme="minorEastAsia" w:hAnsiTheme="minorHAnsi"/>
          <w:sz w:val="22"/>
          <w:lang w:eastAsia="fr-FR"/>
        </w:rPr>
      </w:pPr>
      <w:hyperlink w:anchor="_Toc160528297" w:history="1">
        <w:r w:rsidR="00845310" w:rsidRPr="00EB44C9">
          <w:rPr>
            <w:rStyle w:val="Lienhypertexte"/>
          </w:rPr>
          <w:t>Annexe 15.</w:t>
        </w:r>
        <w:r w:rsidR="00845310">
          <w:rPr>
            <w:rFonts w:asciiTheme="minorHAnsi" w:eastAsiaTheme="minorEastAsia" w:hAnsiTheme="minorHAnsi"/>
            <w:sz w:val="22"/>
            <w:lang w:eastAsia="fr-FR"/>
          </w:rPr>
          <w:tab/>
        </w:r>
        <w:r w:rsidR="00845310" w:rsidRPr="00EB44C9">
          <w:rPr>
            <w:rStyle w:val="Lienhypertexte"/>
          </w:rPr>
          <w:t>Bilan d’après le MTE du volet « connaissance et information » du deuxième PNACC</w:t>
        </w:r>
        <w:r w:rsidR="00845310">
          <w:rPr>
            <w:webHidden/>
          </w:rPr>
          <w:tab/>
        </w:r>
        <w:r w:rsidR="00845310">
          <w:rPr>
            <w:webHidden/>
          </w:rPr>
          <w:fldChar w:fldCharType="begin"/>
        </w:r>
        <w:r w:rsidR="00845310">
          <w:rPr>
            <w:webHidden/>
          </w:rPr>
          <w:instrText xml:space="preserve"> PAGEREF _Toc160528297 \h </w:instrText>
        </w:r>
        <w:r w:rsidR="00845310">
          <w:rPr>
            <w:webHidden/>
          </w:rPr>
        </w:r>
        <w:r w:rsidR="00845310">
          <w:rPr>
            <w:webHidden/>
          </w:rPr>
          <w:fldChar w:fldCharType="separate"/>
        </w:r>
        <w:r w:rsidR="00845310">
          <w:rPr>
            <w:webHidden/>
          </w:rPr>
          <w:t>86</w:t>
        </w:r>
        <w:r w:rsidR="00845310">
          <w:rPr>
            <w:webHidden/>
          </w:rPr>
          <w:fldChar w:fldCharType="end"/>
        </w:r>
      </w:hyperlink>
    </w:p>
    <w:p w14:paraId="2654CA56" w14:textId="4C66E2FA" w:rsidR="006B188E" w:rsidRPr="00E82502" w:rsidRDefault="00DF3F73" w:rsidP="00AA0494">
      <w:pPr>
        <w:rPr>
          <w:noProof/>
        </w:rPr>
      </w:pPr>
      <w:r w:rsidRPr="00E82502">
        <w:rPr>
          <w:noProof/>
        </w:rPr>
        <w:fldChar w:fldCharType="end"/>
      </w:r>
    </w:p>
    <w:p w14:paraId="2654CA59" w14:textId="7C26BFD5" w:rsidR="00067E42" w:rsidRPr="007625AB" w:rsidRDefault="00067E42" w:rsidP="007625AB">
      <w:pPr>
        <w:ind w:left="709" w:firstLine="0"/>
        <w:rPr>
          <w:noProof/>
          <w:vanish/>
          <w:lang w:val="en-US"/>
        </w:rPr>
      </w:pPr>
    </w:p>
    <w:p w14:paraId="2654CA5A" w14:textId="77777777" w:rsidR="007704B1" w:rsidRPr="007625AB" w:rsidRDefault="007704B1" w:rsidP="00330600">
      <w:pPr>
        <w:rPr>
          <w:noProof/>
          <w:lang w:val="en-US"/>
        </w:rPr>
      </w:pPr>
    </w:p>
    <w:p w14:paraId="2654CA5B" w14:textId="77777777" w:rsidR="006B188E" w:rsidRPr="007625AB" w:rsidRDefault="006B188E">
      <w:pPr>
        <w:spacing w:before="0" w:after="200" w:line="276" w:lineRule="auto"/>
        <w:jc w:val="left"/>
        <w:rPr>
          <w:noProof/>
          <w:lang w:val="en-US"/>
        </w:rPr>
      </w:pPr>
      <w:r w:rsidRPr="007625AB">
        <w:rPr>
          <w:noProof/>
          <w:lang w:val="en-US"/>
        </w:rPr>
        <w:br w:type="page"/>
      </w:r>
    </w:p>
    <w:p w14:paraId="2654CA5C" w14:textId="32C25DD9" w:rsidR="0006694F" w:rsidRDefault="00615921" w:rsidP="00384E38">
      <w:pPr>
        <w:pStyle w:val="TITRENONNUMROT"/>
      </w:pPr>
      <w:bookmarkStart w:id="2" w:name="_Toc160528282"/>
      <w:r>
        <w:lastRenderedPageBreak/>
        <w:t>CAHIER RELATIF AUX MÉTHODES ET DONNÉES</w:t>
      </w:r>
      <w:bookmarkEnd w:id="2"/>
      <w:r>
        <w:t xml:space="preserve">  </w:t>
      </w:r>
    </w:p>
    <w:p w14:paraId="2AED864D" w14:textId="7E273694" w:rsidR="0041223F" w:rsidRDefault="00ED1120" w:rsidP="0041223F">
      <w:pPr>
        <w:pStyle w:val="Normal-Espacementdelapremireligne"/>
      </w:pPr>
      <w:r w:rsidRPr="00334C96">
        <w:t>L</w:t>
      </w:r>
      <w:r w:rsidR="00D20AA8">
        <w:t>e</w:t>
      </w:r>
      <w:r w:rsidR="009E001D">
        <w:t xml:space="preserve"> présent cahier présente</w:t>
      </w:r>
      <w:r w:rsidR="00E61C9A">
        <w:t xml:space="preserve"> sous forme d’annexes</w:t>
      </w:r>
      <w:r w:rsidR="009E001D">
        <w:t xml:space="preserve"> les </w:t>
      </w:r>
      <w:r w:rsidR="00383432">
        <w:t xml:space="preserve">méthodes et données </w:t>
      </w:r>
      <w:r w:rsidR="009E001D">
        <w:t>mobilisé</w:t>
      </w:r>
      <w:r w:rsidR="00FC0DC8">
        <w:t>e</w:t>
      </w:r>
      <w:r w:rsidR="009E001D">
        <w:t>s</w:t>
      </w:r>
      <w:r w:rsidR="00123A31">
        <w:t xml:space="preserve"> </w:t>
      </w:r>
      <w:r w:rsidR="004345EB">
        <w:t>dans le chapitre du</w:t>
      </w:r>
      <w:r w:rsidR="00123A31">
        <w:t xml:space="preserve"> rapport public annuel </w:t>
      </w:r>
      <w:r w:rsidR="00383432">
        <w:t xml:space="preserve">de la Cour des comptes </w:t>
      </w:r>
      <w:r w:rsidR="00123A31">
        <w:t>de 2024 relati</w:t>
      </w:r>
      <w:r w:rsidR="004345EB">
        <w:t>f</w:t>
      </w:r>
      <w:r w:rsidR="00123A31">
        <w:t xml:space="preserve"> à la place et au rôle de la recherche publique dans l’adaptation au changement climatique.</w:t>
      </w:r>
      <w:r w:rsidR="003F58B2">
        <w:t xml:space="preserve"> </w:t>
      </w:r>
    </w:p>
    <w:p w14:paraId="21D72693" w14:textId="3B9420E1" w:rsidR="004C158F" w:rsidRDefault="0041223F" w:rsidP="004C158F">
      <w:pPr>
        <w:pStyle w:val="Normal-Espacementdelapremireligne"/>
      </w:pPr>
      <w:r>
        <w:t>Les résultats détaillés qui sous-tendent les observations formulées de façon synthétique dans le chapitre sont également présentés. Ces résultats constituent autant d’exemples d’application</w:t>
      </w:r>
      <w:r w:rsidR="006425A3">
        <w:t>s</w:t>
      </w:r>
      <w:r>
        <w:t xml:space="preserve"> des méthodes ici développées. </w:t>
      </w:r>
    </w:p>
    <w:p w14:paraId="0BBAAD99" w14:textId="0AE3F105" w:rsidR="0041223F" w:rsidRPr="00DA4AE5" w:rsidRDefault="004C158F" w:rsidP="00DA4AE5">
      <w:pPr>
        <w:pStyle w:val="Normal-Espacementdelapremireligne"/>
      </w:pPr>
      <w:r>
        <w:t xml:space="preserve">Ces éléments </w:t>
      </w:r>
      <w:r w:rsidR="00EF34A3" w:rsidRPr="00EF34A3">
        <w:t xml:space="preserve">sont susceptibles d’être remobilisés pour un suivi actualisé de la recherche dans l’adaptation </w:t>
      </w:r>
      <w:r w:rsidR="00EF34A3">
        <w:t>et</w:t>
      </w:r>
      <w:r w:rsidR="00EF34A3" w:rsidRPr="00EF34A3">
        <w:t xml:space="preserve"> pourraient </w:t>
      </w:r>
      <w:r w:rsidR="00EF34A3">
        <w:t xml:space="preserve">par ailleurs </w:t>
      </w:r>
      <w:r w:rsidR="00EF34A3" w:rsidRPr="00EF34A3">
        <w:t>répondre à des besoins nouveaux</w:t>
      </w:r>
      <w:r w:rsidR="00E007FB">
        <w:t>.</w:t>
      </w:r>
    </w:p>
    <w:p w14:paraId="2654CA71" w14:textId="392CF869" w:rsidR="00562F35" w:rsidRDefault="00E007FB" w:rsidP="00DA4AE5">
      <w:pPr>
        <w:pStyle w:val="Normal-Espacementdelapremireligne"/>
      </w:pPr>
      <w:r>
        <w:t>Afin de susciter de nouveaux usages dans une perspective d’intérêt général, les</w:t>
      </w:r>
      <w:r w:rsidR="003F58B2">
        <w:t xml:space="preserve"> éléments de code </w:t>
      </w:r>
      <w:r w:rsidR="006328DE">
        <w:t>source</w:t>
      </w:r>
      <w:r w:rsidR="009A1DDF">
        <w:t xml:space="preserve"> associés</w:t>
      </w:r>
      <w:r>
        <w:t xml:space="preserve"> aux méthodes les plus importantes </w:t>
      </w:r>
      <w:r w:rsidR="004C158F">
        <w:t xml:space="preserve">et les principaux jeux de données associés </w:t>
      </w:r>
      <w:r w:rsidR="00BF30D9">
        <w:t xml:space="preserve">sont proposés </w:t>
      </w:r>
      <w:r w:rsidR="00BF30D9" w:rsidRPr="00107F5E">
        <w:t>dans un format numériquement exploitable</w:t>
      </w:r>
      <w:r w:rsidR="00845310">
        <w:t xml:space="preserve"> (voir les licences et conditions précisés dans le document</w:t>
      </w:r>
      <w:proofErr w:type="gramStart"/>
      <w:r w:rsidR="00845310">
        <w:t xml:space="preserve"> «</w:t>
      </w:r>
      <w:r w:rsidR="00845310" w:rsidRPr="00845310">
        <w:t>Presentation_Cahier_OpenData_RPA_2024_Place_et_rôle_de_la_recherche.docx</w:t>
      </w:r>
      <w:proofErr w:type="gramEnd"/>
      <w:r w:rsidR="00845310">
        <w:t> »)</w:t>
      </w:r>
      <w:r w:rsidR="004C158F">
        <w:t>.</w:t>
      </w:r>
      <w:r w:rsidR="004C158F" w:rsidRPr="004C158F">
        <w:t xml:space="preserve"> </w:t>
      </w:r>
      <w:r w:rsidR="004C158F">
        <w:t>D’autres applications potentielles incluent par exemple l’extension des analyses aux travaux à venir du 7</w:t>
      </w:r>
      <w:r w:rsidR="001C1832">
        <w:rPr>
          <w:vertAlign w:val="superscript"/>
        </w:rPr>
        <w:t>èmz</w:t>
      </w:r>
      <w:r w:rsidR="004C158F">
        <w:t xml:space="preserve"> cycle du GIEC ou encore aux publications de l’IPBES sur les enjeux liés à la biodiversité.</w:t>
      </w:r>
    </w:p>
    <w:p w14:paraId="794C6765" w14:textId="1B92CF6D" w:rsidR="002E4EC0" w:rsidRPr="002E4EC0" w:rsidRDefault="002E4EC0" w:rsidP="00592334">
      <w:r w:rsidRPr="00592334">
        <w:rPr>
          <w:b/>
          <w:i/>
        </w:rPr>
        <w:t>Clause de non-responsabilité</w:t>
      </w:r>
      <w:r w:rsidRPr="002E4EC0">
        <w:rPr>
          <w:i/>
        </w:rPr>
        <w:t xml:space="preserve"> : le présent document et les éléments ouverts associés ne sont pas des produits du GIEC, n'ont pas fait l'objet des processus formels de relecture du GIEC et n'ont pas été endossés par le GIEC. Le GIEC ne porte aucune </w:t>
      </w:r>
      <w:r w:rsidRPr="00592334">
        <w:rPr>
          <w:i/>
        </w:rPr>
        <w:t>responsabilité</w:t>
      </w:r>
      <w:r w:rsidRPr="002E4EC0">
        <w:rPr>
          <w:i/>
        </w:rPr>
        <w:t xml:space="preserve"> pour l'exactitude de ces éléments. Toute référence ou tout usage des matériaux du GIEC, y compris les glossaires et annexes, est destinée uniquement à des fins d'information. L'utilisation ou la confiance accordée à toute information est au seul risque des utilisateurs. Le GIEC décline toute responsabilité, y compris toute représentation ou garantie expresse ou implicite, orale ou écrite, pour toute utilisation du matériel mis à disposition à des tierces parties.</w:t>
      </w:r>
    </w:p>
    <w:p w14:paraId="2654CA72" w14:textId="588394A1" w:rsidR="00AA0494" w:rsidRDefault="00AA0494">
      <w:pPr>
        <w:spacing w:before="0" w:after="200" w:line="276" w:lineRule="auto"/>
        <w:ind w:firstLine="0"/>
        <w:jc w:val="left"/>
      </w:pPr>
      <w:r>
        <w:br w:type="page"/>
      </w:r>
    </w:p>
    <w:p w14:paraId="57D0D778" w14:textId="54170D4A" w:rsidR="00673D06" w:rsidRPr="00F24D74" w:rsidRDefault="00EB7D65" w:rsidP="000F2B93">
      <w:pPr>
        <w:pStyle w:val="Titre1"/>
        <w:jc w:val="center"/>
      </w:pPr>
      <w:bookmarkStart w:id="3" w:name="_Toc139281936"/>
      <w:bookmarkStart w:id="4" w:name="_Toc139281937"/>
      <w:bookmarkStart w:id="5" w:name="_Toc139281938"/>
      <w:bookmarkStart w:id="6" w:name="_Toc160528283"/>
      <w:bookmarkEnd w:id="3"/>
      <w:bookmarkEnd w:id="4"/>
      <w:bookmarkEnd w:id="5"/>
      <w:r>
        <w:lastRenderedPageBreak/>
        <w:t xml:space="preserve">Méthode </w:t>
      </w:r>
      <w:r w:rsidR="00DC201D">
        <w:t>d’analyse</w:t>
      </w:r>
      <w:r w:rsidR="009E7BB3">
        <w:t xml:space="preserve"> </w:t>
      </w:r>
      <w:r w:rsidR="00DC201D">
        <w:t>d</w:t>
      </w:r>
      <w:r w:rsidR="0090474C">
        <w:t>es</w:t>
      </w:r>
      <w:r w:rsidR="00673D06">
        <w:t xml:space="preserve"> citations</w:t>
      </w:r>
      <w:r w:rsidR="008139A6">
        <w:t xml:space="preserve"> des travaux du</w:t>
      </w:r>
      <w:r w:rsidR="00673D06">
        <w:t xml:space="preserve"> GIEC</w:t>
      </w:r>
      <w:r w:rsidR="0090474C">
        <w:t xml:space="preserve"> et des métadonnées associées sur des bases harmonisées</w:t>
      </w:r>
      <w:bookmarkEnd w:id="6"/>
    </w:p>
    <w:p w14:paraId="62F100D1" w14:textId="5B6956A6" w:rsidR="007E34DA" w:rsidRDefault="001D4FB2" w:rsidP="00690100">
      <w:pPr>
        <w:rPr>
          <w:u w:val="single"/>
        </w:rPr>
      </w:pPr>
      <w:r>
        <w:rPr>
          <w:u w:val="single"/>
        </w:rPr>
        <w:t xml:space="preserve">Finalités </w:t>
      </w:r>
      <w:r w:rsidR="0090474C">
        <w:rPr>
          <w:u w:val="single"/>
        </w:rPr>
        <w:t>et principes de l’approche mise en œuvre</w:t>
      </w:r>
    </w:p>
    <w:p w14:paraId="3027864F" w14:textId="158DEBD9" w:rsidR="00AE1FAC" w:rsidRPr="00FB3BE5" w:rsidRDefault="0087344B" w:rsidP="00AE1FAC">
      <w:pPr>
        <w:rPr>
          <w:sz w:val="22"/>
        </w:rPr>
      </w:pPr>
      <w:r>
        <w:t xml:space="preserve">Dans le cadre de son instruction, la </w:t>
      </w:r>
      <w:r w:rsidR="00AE1FAC">
        <w:t xml:space="preserve">Cour a </w:t>
      </w:r>
      <w:r>
        <w:t xml:space="preserve">rapidement </w:t>
      </w:r>
      <w:r w:rsidR="00AE1FAC">
        <w:t>été confronté</w:t>
      </w:r>
      <w:r w:rsidR="007D51C3">
        <w:t>e</w:t>
      </w:r>
      <w:r w:rsidR="00AE1FAC">
        <w:t xml:space="preserve"> à la problématique de définition et de la stabilisation du périmètre</w:t>
      </w:r>
      <w:r>
        <w:t xml:space="preserve"> de l’enquête</w:t>
      </w:r>
      <w:r w:rsidR="00AE1FAC">
        <w:t>. Les acteurs rencontrés ont indiqué de façon convergente qu’il s’agissait d’un verrou clé à lever étant donné la nature des recherches concerné</w:t>
      </w:r>
      <w:r w:rsidR="007D51C3">
        <w:t>e</w:t>
      </w:r>
      <w:r w:rsidR="00AE1FAC">
        <w:t xml:space="preserve">s qui </w:t>
      </w:r>
      <w:r w:rsidR="00FE1FFE">
        <w:t>englobent</w:t>
      </w:r>
      <w:r w:rsidR="00AE1FAC">
        <w:t xml:space="preserve"> des recherches fondamentales sur le climat</w:t>
      </w:r>
      <w:r w:rsidR="00FE1FFE">
        <w:t xml:space="preserve"> ; </w:t>
      </w:r>
      <w:r w:rsidR="00AE1FAC">
        <w:t xml:space="preserve">les recherches </w:t>
      </w:r>
      <w:r>
        <w:t xml:space="preserve">sur les risques, les vulnérabilités et l’adaptation qui mobilisent des </w:t>
      </w:r>
      <w:r w:rsidR="00AE1FAC">
        <w:t>disciplines très diversifiées</w:t>
      </w:r>
      <w:r w:rsidR="00FE1FFE">
        <w:t xml:space="preserve"> ; et les </w:t>
      </w:r>
      <w:r w:rsidR="00AE1FAC">
        <w:t xml:space="preserve">solutions issues de ces recherches </w:t>
      </w:r>
      <w:r>
        <w:t xml:space="preserve">telles que </w:t>
      </w:r>
      <w:r w:rsidR="00AE1FAC">
        <w:t xml:space="preserve">les services climatiques, la sélection variétale ou encore les innovations sociales. </w:t>
      </w:r>
    </w:p>
    <w:p w14:paraId="13974CA9" w14:textId="794C3394" w:rsidR="00AE1FAC" w:rsidRDefault="00FE1FFE" w:rsidP="00AE1FAC">
      <w:r>
        <w:t>Le nœud que constitue</w:t>
      </w:r>
      <w:r w:rsidR="00AE1FAC">
        <w:t xml:space="preserve"> </w:t>
      </w:r>
      <w:r>
        <w:t>la définition du</w:t>
      </w:r>
      <w:r w:rsidR="00AE1FAC">
        <w:t xml:space="preserve"> périmètre conditionne </w:t>
      </w:r>
      <w:r w:rsidR="00FB3BE5">
        <w:t>l’ensemble des analyses</w:t>
      </w:r>
      <w:r w:rsidR="007D51C3">
        <w:t xml:space="preserve"> dont </w:t>
      </w:r>
      <w:r w:rsidR="00AE1FAC">
        <w:t>les comparatifs internationaux, l’analyse des structures françaises impliquées, ainsi que le suivi de l’évolution des financement</w:t>
      </w:r>
      <w:r w:rsidR="00FB3BE5">
        <w:t>s.</w:t>
      </w:r>
    </w:p>
    <w:p w14:paraId="69B7296B" w14:textId="5764CACB" w:rsidR="00AE1FAC" w:rsidRDefault="00FB3BE5" w:rsidP="00AE1FAC">
      <w:r>
        <w:t>Si</w:t>
      </w:r>
      <w:r w:rsidR="00AE1FAC">
        <w:t xml:space="preserve"> différentes approches sémantiques</w:t>
      </w:r>
      <w:r>
        <w:t xml:space="preserve"> dérivées d’une étude internationale</w:t>
      </w:r>
      <w:r w:rsidR="00AE1FAC">
        <w:t xml:space="preserve"> </w:t>
      </w:r>
      <w:r>
        <w:t xml:space="preserve">ont été testées avec succès en lien étroit avec les acteurs de la recherche française, </w:t>
      </w:r>
      <w:r w:rsidR="007D51C3">
        <w:t>notamment avec</w:t>
      </w:r>
      <w:r>
        <w:t xml:space="preserve"> l’ANR (voir annexe n°3), </w:t>
      </w:r>
      <w:r w:rsidR="00AE1FAC">
        <w:t>ces approches</w:t>
      </w:r>
      <w:r>
        <w:t xml:space="preserve"> présentaient</w:t>
      </w:r>
      <w:r w:rsidR="00AE1FAC">
        <w:t xml:space="preserve"> </w:t>
      </w:r>
      <w:r>
        <w:t xml:space="preserve">des </w:t>
      </w:r>
      <w:r w:rsidR="00AE1FAC">
        <w:t>limit</w:t>
      </w:r>
      <w:r>
        <w:t>e</w:t>
      </w:r>
      <w:r w:rsidR="00AE1FAC">
        <w:t xml:space="preserve">s </w:t>
      </w:r>
      <w:r>
        <w:t>indépassables</w:t>
      </w:r>
      <w:r w:rsidR="00455FCC">
        <w:t xml:space="preserve"> soulignées par </w:t>
      </w:r>
      <w:r>
        <w:t>le HCERES et le CNR</w:t>
      </w:r>
      <w:r w:rsidR="00455FCC">
        <w:t>S</w:t>
      </w:r>
      <w:r w:rsidR="007D51C3">
        <w:t>.</w:t>
      </w:r>
      <w:r>
        <w:t xml:space="preserve"> </w:t>
      </w:r>
      <w:r w:rsidR="007D51C3">
        <w:t>D</w:t>
      </w:r>
      <w:r w:rsidR="00AE1FAC">
        <w:t>’une part elles ne permettent pas de cartographier l’ensemble du périmètre de l’enquête et d’autre part elles comportent une part d’arbitraire dans les choix de mots clés</w:t>
      </w:r>
      <w:r>
        <w:t xml:space="preserve"> retenus</w:t>
      </w:r>
      <w:r w:rsidR="00AE1FAC">
        <w:t xml:space="preserve">. </w:t>
      </w:r>
    </w:p>
    <w:p w14:paraId="0365AE2C" w14:textId="502AFBA8" w:rsidR="00FB3BE5" w:rsidRDefault="00AE1FAC" w:rsidP="00AE1FAC">
      <w:r>
        <w:t xml:space="preserve">Pour pallier ces limitations, </w:t>
      </w:r>
      <w:r w:rsidR="00FB3BE5">
        <w:t>la Cour a exploré</w:t>
      </w:r>
      <w:r>
        <w:t xml:space="preserve"> une approche </w:t>
      </w:r>
      <w:r w:rsidR="00455FCC">
        <w:t xml:space="preserve">d’une nature </w:t>
      </w:r>
      <w:r>
        <w:t xml:space="preserve">différente </w:t>
      </w:r>
      <w:r w:rsidR="00FB3BE5">
        <w:t xml:space="preserve">fondée sur un périmètre </w:t>
      </w:r>
      <w:r w:rsidR="0040000F">
        <w:t>construit à partir des</w:t>
      </w:r>
      <w:r w:rsidR="00FB3BE5">
        <w:t xml:space="preserve"> travaux du groupe intergouvernemental d’experts sur l’évolution du climat (GIEC)</w:t>
      </w:r>
      <w:r w:rsidR="007D0254">
        <w:t>.</w:t>
      </w:r>
    </w:p>
    <w:p w14:paraId="0D9EE2D7" w14:textId="6EB8AAB2" w:rsidR="0040000F" w:rsidRDefault="0040000F" w:rsidP="00AE1FAC">
      <w:r>
        <w:t>Cette approche a nécessité un travail de consolidation et d’harmonisation considérable en lien étroit avec la direction du numérique de la Cour (voir ci-dessous)</w:t>
      </w:r>
      <w:r w:rsidR="007D51C3">
        <w:t xml:space="preserve"> et</w:t>
      </w:r>
      <w:r>
        <w:t xml:space="preserve"> a permis de nourrir l’enquête </w:t>
      </w:r>
      <w:r w:rsidR="007D51C3">
        <w:t xml:space="preserve">sur la base </w:t>
      </w:r>
      <w:r>
        <w:t>d</w:t>
      </w:r>
      <w:r w:rsidR="007D51C3">
        <w:t>u large corpus scientifique cité</w:t>
      </w:r>
      <w:r>
        <w:t xml:space="preserve"> </w:t>
      </w:r>
      <w:r w:rsidR="00AE1FAC">
        <w:t xml:space="preserve">dans les rapports détaillés du </w:t>
      </w:r>
      <w:r>
        <w:t>6</w:t>
      </w:r>
      <w:r w:rsidRPr="0040000F">
        <w:rPr>
          <w:vertAlign w:val="superscript"/>
        </w:rPr>
        <w:t>e</w:t>
      </w:r>
      <w:r>
        <w:t xml:space="preserve"> cycle du </w:t>
      </w:r>
      <w:r w:rsidR="00AE1FAC">
        <w:t>GIEC</w:t>
      </w:r>
      <w:r>
        <w:t>. C</w:t>
      </w:r>
      <w:r w:rsidR="00AE1FAC">
        <w:t xml:space="preserve">hacun des rapports principaux </w:t>
      </w:r>
      <w:r>
        <w:t xml:space="preserve">issus des trois groupes de travail du GIEC </w:t>
      </w:r>
      <w:r w:rsidR="00AE1FAC">
        <w:t xml:space="preserve">représente des milliers de pages et des dizaines de milliers d’articles cités. </w:t>
      </w:r>
      <w:r>
        <w:t xml:space="preserve">La Cour a pu ainsi s’appuyer sur un </w:t>
      </w:r>
      <w:r w:rsidR="00AE1FAC">
        <w:t xml:space="preserve">périmètre </w:t>
      </w:r>
      <w:r>
        <w:t xml:space="preserve">construit à partir des travaux de synthèse réalisés par </w:t>
      </w:r>
      <w:r w:rsidR="007D51C3">
        <w:t xml:space="preserve">les </w:t>
      </w:r>
      <w:r w:rsidR="00AE1FAC">
        <w:t>experts scientifiques</w:t>
      </w:r>
      <w:r w:rsidR="007D51C3">
        <w:t xml:space="preserve"> du GIEC</w:t>
      </w:r>
      <w:r w:rsidR="00455FCC">
        <w:t>. Les travaux du GIEC permettent de s’appuyer un</w:t>
      </w:r>
      <w:r>
        <w:t xml:space="preserve"> socle</w:t>
      </w:r>
      <w:r w:rsidR="00AE1FAC">
        <w:t xml:space="preserve"> s</w:t>
      </w:r>
      <w:r>
        <w:t>cientifiquement fondé</w:t>
      </w:r>
      <w:r w:rsidR="00455FCC">
        <w:t xml:space="preserve">, en phase avec les enjeux des </w:t>
      </w:r>
      <w:r w:rsidR="00AE1FAC">
        <w:t>politiques publiques</w:t>
      </w:r>
      <w:r w:rsidR="00455FCC">
        <w:t xml:space="preserve"> et reconnu au plus haut niveau international.</w:t>
      </w:r>
    </w:p>
    <w:p w14:paraId="4648E2CB" w14:textId="4A4B0F7A" w:rsidR="0040000F" w:rsidRDefault="0040000F" w:rsidP="00AE1FAC">
      <w:r>
        <w:t>Le périmètre de l’enquête de la Cour correspond strictement aux périmètres des groupes 1 et 2 du GIEC (sciences du climat d’une part, et risques, vulnérabilités et adaptation d’autre part). Par connexité, elle comprend également le groupe 3 (atténuation) dans ses interactions avec les groupes 1 et 2</w:t>
      </w:r>
      <w:r w:rsidR="00FE1FFE">
        <w:t xml:space="preserve"> afin</w:t>
      </w:r>
      <w:r>
        <w:t xml:space="preserve"> </w:t>
      </w:r>
      <w:r w:rsidR="00FE1FFE">
        <w:t>de</w:t>
      </w:r>
      <w:r>
        <w:t xml:space="preserve"> cibler l’enjeu majeur de la réduction du risque de mal-adaptation. </w:t>
      </w:r>
    </w:p>
    <w:p w14:paraId="08185974" w14:textId="2EB3DDC7" w:rsidR="00F76F5E" w:rsidRDefault="000255B2" w:rsidP="00AE1FAC">
      <w:r>
        <w:t>Une fois le</w:t>
      </w:r>
      <w:r w:rsidR="00FE1FFE">
        <w:t xml:space="preserve"> corpus </w:t>
      </w:r>
      <w:r w:rsidR="00455FCC">
        <w:t>de citations du</w:t>
      </w:r>
      <w:r>
        <w:t xml:space="preserve"> GIEC consolidé et harmonisé, il est</w:t>
      </w:r>
      <w:r w:rsidR="00FE1FFE">
        <w:t xml:space="preserve"> </w:t>
      </w:r>
      <w:r>
        <w:t xml:space="preserve">possible de réaliser des analyses fines de la recherche française pour l’adaptation en s’appuyant sur les systèmes d’informations de la recherche française. </w:t>
      </w:r>
      <w:r w:rsidR="00FE1FFE">
        <w:t>E</w:t>
      </w:r>
      <w:r w:rsidR="00AE1FAC">
        <w:t xml:space="preserve">n croisant les </w:t>
      </w:r>
      <w:r w:rsidR="00FE1FFE">
        <w:t>données relatives au corpus</w:t>
      </w:r>
      <w:r w:rsidR="00AE1FAC">
        <w:t xml:space="preserve"> </w:t>
      </w:r>
      <w:r w:rsidR="00455FCC">
        <w:t xml:space="preserve">du </w:t>
      </w:r>
      <w:r w:rsidR="00F76F5E">
        <w:t xml:space="preserve">GIEC </w:t>
      </w:r>
      <w:r w:rsidR="00AE1FAC">
        <w:t xml:space="preserve">avec </w:t>
      </w:r>
      <w:r w:rsidR="00F76F5E">
        <w:t xml:space="preserve">les nombreuses bases de données de la recherche </w:t>
      </w:r>
      <w:r w:rsidR="00AE1FAC">
        <w:t>comme l’archive libre HAL</w:t>
      </w:r>
      <w:r w:rsidR="00F76F5E">
        <w:t xml:space="preserve"> du CNRS</w:t>
      </w:r>
      <w:r w:rsidR="00AE1FAC">
        <w:t xml:space="preserve"> </w:t>
      </w:r>
      <w:r w:rsidR="00AE1FAC">
        <w:lastRenderedPageBreak/>
        <w:t xml:space="preserve">pour la </w:t>
      </w:r>
      <w:r w:rsidR="00F76F5E">
        <w:t>France</w:t>
      </w:r>
      <w:r>
        <w:rPr>
          <w:rStyle w:val="Appelnotedebasdep"/>
        </w:rPr>
        <w:footnoteReference w:id="2"/>
      </w:r>
      <w:r w:rsidR="00AE1FAC">
        <w:t xml:space="preserve">, </w:t>
      </w:r>
      <w:r w:rsidR="00F76F5E">
        <w:t>il est</w:t>
      </w:r>
      <w:r w:rsidR="00FE1FFE">
        <w:t xml:space="preserve"> </w:t>
      </w:r>
      <w:r w:rsidR="00F76F5E">
        <w:t>possible de</w:t>
      </w:r>
      <w:r w:rsidR="00AE1FAC">
        <w:t xml:space="preserve"> déduire les laboratoires</w:t>
      </w:r>
      <w:r w:rsidR="00C9173C">
        <w:t xml:space="preserve"> (aussi appelés unités de recherche)</w:t>
      </w:r>
      <w:r w:rsidR="00AE1FAC">
        <w:t xml:space="preserve"> impliqués, </w:t>
      </w:r>
      <w:r w:rsidR="00F76F5E">
        <w:t xml:space="preserve">de retracer </w:t>
      </w:r>
      <w:r w:rsidR="00AE1FAC">
        <w:t xml:space="preserve">le positionnement de la </w:t>
      </w:r>
      <w:r w:rsidR="00FE1FFE">
        <w:t xml:space="preserve">France, </w:t>
      </w:r>
      <w:r w:rsidR="00F76F5E">
        <w:t>d’identifier s</w:t>
      </w:r>
      <w:r w:rsidR="00AE1FAC">
        <w:t>es principaux partenariats internationaux</w:t>
      </w:r>
      <w:r>
        <w:t xml:space="preserve"> ou encore d’</w:t>
      </w:r>
      <w:r w:rsidR="00F76F5E">
        <w:t xml:space="preserve">analyser les </w:t>
      </w:r>
      <w:r w:rsidR="00AE1FAC">
        <w:t>financements</w:t>
      </w:r>
      <w:r w:rsidR="00F76F5E">
        <w:t xml:space="preserve"> </w:t>
      </w:r>
      <w:r>
        <w:t xml:space="preserve">(ANR et européens) </w:t>
      </w:r>
      <w:r w:rsidR="00FE1FFE">
        <w:t>renseignés</w:t>
      </w:r>
      <w:r w:rsidR="00455FCC">
        <w:t xml:space="preserve"> </w:t>
      </w:r>
      <w:r w:rsidR="00F76F5E">
        <w:t xml:space="preserve">par les chercheurs dans leurs publications. </w:t>
      </w:r>
      <w:r>
        <w:t>En conjonction avec HAL qui liste les codes « RNSR » des structures, l’emploi des données ouvertes du répertoire national des structures de recherche (RNSR) du MESR permet d</w:t>
      </w:r>
      <w:r w:rsidR="00FE1FFE">
        <w:t xml:space="preserve">’identifier </w:t>
      </w:r>
      <w:r>
        <w:t>les laboratoires impliqués en termes de (co-)tutelles ou encore de dominantes disciplinaires</w:t>
      </w:r>
      <w:r w:rsidR="008D4E13">
        <w:t>,</w:t>
      </w:r>
      <w:r w:rsidR="00FE1FFE">
        <w:t xml:space="preserve"> </w:t>
      </w:r>
      <w:r w:rsidR="008D4E13">
        <w:t xml:space="preserve">et de </w:t>
      </w:r>
      <w:r w:rsidR="005F1C91">
        <w:t>replacer les résultats obtenus</w:t>
      </w:r>
      <w:r w:rsidR="008D4E13">
        <w:t xml:space="preserve"> d</w:t>
      </w:r>
      <w:r w:rsidR="005F1C91">
        <w:t xml:space="preserve">ans le contexte plus large </w:t>
      </w:r>
      <w:r w:rsidR="008D4E13">
        <w:t>de la recherche française. Par le contraste qu’elle app</w:t>
      </w:r>
      <w:r w:rsidR="00FE1FFE">
        <w:t>orte</w:t>
      </w:r>
      <w:r w:rsidR="008D4E13">
        <w:t xml:space="preserve">, cette approche permet également d’identifier les types de laboratoires français qui sont comparativement moins cités par le GIEC, tels que les unités propres ou encore les </w:t>
      </w:r>
      <w:r w:rsidR="00460732">
        <w:t>laboratoires</w:t>
      </w:r>
      <w:r w:rsidR="005F1C91">
        <w:t xml:space="preserve"> </w:t>
      </w:r>
      <w:r w:rsidR="008D4E13">
        <w:t>dans le domaine de la santé.</w:t>
      </w:r>
    </w:p>
    <w:p w14:paraId="2A982D91" w14:textId="752DB2B0" w:rsidR="008D4E13" w:rsidRDefault="008D4E13" w:rsidP="00AE1FAC">
      <w:r>
        <w:t>D</w:t>
      </w:r>
      <w:r w:rsidR="00F76F5E">
        <w:t xml:space="preserve">ans la mesure où </w:t>
      </w:r>
      <w:r w:rsidR="000255B2">
        <w:t xml:space="preserve">certains </w:t>
      </w:r>
      <w:r w:rsidR="00F76F5E">
        <w:t xml:space="preserve">chapitres du GIEC sont structurés par secteur ou par zone géographique, il a même été possible de </w:t>
      </w:r>
      <w:r w:rsidR="009506AD">
        <w:t xml:space="preserve">préciser </w:t>
      </w:r>
      <w:r w:rsidR="00F76F5E">
        <w:t>la taille relative et le rayonnement de</w:t>
      </w:r>
      <w:r w:rsidR="004E7654">
        <w:t xml:space="preserve"> </w:t>
      </w:r>
      <w:r w:rsidR="00F76F5E">
        <w:t xml:space="preserve">viviers scientifiques français </w:t>
      </w:r>
      <w:r w:rsidR="009506AD">
        <w:t>spécifiques</w:t>
      </w:r>
      <w:r w:rsidR="004E7654">
        <w:t xml:space="preserve"> en lien avec les enjeux d’adaptation</w:t>
      </w:r>
      <w:r w:rsidR="009506AD">
        <w:t xml:space="preserve">, </w:t>
      </w:r>
      <w:r w:rsidR="000255B2">
        <w:t xml:space="preserve">de positionner la France en regard des autres pays et </w:t>
      </w:r>
      <w:r w:rsidR="00F76F5E">
        <w:t xml:space="preserve">de confronter la taille de ces viviers aux besoins </w:t>
      </w:r>
      <w:r w:rsidR="000255B2">
        <w:t>remontés par les acteurs.</w:t>
      </w:r>
    </w:p>
    <w:p w14:paraId="17CC09B0" w14:textId="06B6AF9E" w:rsidR="008D4E13" w:rsidRDefault="008D4E13" w:rsidP="00AE1FAC">
      <w:r>
        <w:t xml:space="preserve">Pour pouvoir réaliser un suivi </w:t>
      </w:r>
      <w:r w:rsidRPr="008D4E13">
        <w:rPr>
          <w:i/>
        </w:rPr>
        <w:t>par-delà</w:t>
      </w:r>
      <w:r>
        <w:t xml:space="preserve"> les travaux du GIEC</w:t>
      </w:r>
      <w:r w:rsidR="004E7654">
        <w:t xml:space="preserve">, tant </w:t>
      </w:r>
      <w:r w:rsidR="0090474C">
        <w:t xml:space="preserve">à des fins de vérification de cohérence ainsi que </w:t>
      </w:r>
      <w:r w:rsidR="009506AD">
        <w:t>de s</w:t>
      </w:r>
      <w:r w:rsidR="0090474C">
        <w:t>uivi en séries longues</w:t>
      </w:r>
      <w:r>
        <w:t>, les métadonnées</w:t>
      </w:r>
      <w:r>
        <w:rPr>
          <w:rStyle w:val="Appelnotedebasdep"/>
        </w:rPr>
        <w:footnoteReference w:id="3"/>
      </w:r>
      <w:r>
        <w:t xml:space="preserve"> d</w:t>
      </w:r>
      <w:r w:rsidR="009506AD">
        <w:t xml:space="preserve">u corpus de référence </w:t>
      </w:r>
      <w:r>
        <w:t xml:space="preserve">du GIEC stratifiées par groupe ont été </w:t>
      </w:r>
      <w:r w:rsidR="0090474C">
        <w:t xml:space="preserve">également </w:t>
      </w:r>
      <w:r>
        <w:t>employées pour former la base de deux méthodes supplémentaires de suivi de la recherche pour l’adaptation :</w:t>
      </w:r>
    </w:p>
    <w:p w14:paraId="5E0F687E" w14:textId="7D505EC0" w:rsidR="008D4E13" w:rsidRDefault="0090474C" w:rsidP="0090474C">
      <w:pPr>
        <w:pStyle w:val="Paragraphedeliste"/>
        <w:numPr>
          <w:ilvl w:val="0"/>
          <w:numId w:val="41"/>
        </w:numPr>
      </w:pPr>
      <w:r>
        <w:t xml:space="preserve">L’identification des </w:t>
      </w:r>
      <w:r w:rsidRPr="0090474C">
        <w:rPr>
          <w:i/>
        </w:rPr>
        <w:t>journaux</w:t>
      </w:r>
      <w:r>
        <w:rPr>
          <w:rStyle w:val="Appelnotedebasdep"/>
          <w:i/>
        </w:rPr>
        <w:footnoteReference w:id="4"/>
      </w:r>
      <w:r>
        <w:t xml:space="preserve"> les plus cités par le GIEC, et qui sont par ailleurs spécifiques </w:t>
      </w:r>
      <w:r w:rsidR="009506AD">
        <w:t>à</w:t>
      </w:r>
      <w:r>
        <w:t xml:space="preserve"> chacun des groupes du GIEC</w:t>
      </w:r>
      <w:r w:rsidR="006230FF">
        <w:t xml:space="preserve"> (annexe 3),</w:t>
      </w:r>
      <w:r>
        <w:t xml:space="preserve"> afin de pouvoir </w:t>
      </w:r>
      <w:r w:rsidR="006230FF">
        <w:t>ensuite retracer le périmètre couvert par</w:t>
      </w:r>
      <w:r>
        <w:t xml:space="preserve"> chacun des groupes</w:t>
      </w:r>
      <w:r w:rsidR="005A6DF0">
        <w:t xml:space="preserve"> ; </w:t>
      </w:r>
    </w:p>
    <w:p w14:paraId="6A4CD207" w14:textId="71F1A8A2" w:rsidR="00AE1FAC" w:rsidRDefault="006230FF" w:rsidP="00AE1FAC">
      <w:pPr>
        <w:pStyle w:val="Paragraphedeliste"/>
        <w:numPr>
          <w:ilvl w:val="0"/>
          <w:numId w:val="41"/>
        </w:numPr>
      </w:pPr>
      <w:r>
        <w:t>L</w:t>
      </w:r>
      <w:r w:rsidR="008D4E13">
        <w:t xml:space="preserve">es métadonnées des citations du GIEC stratifiées par groupe du GIEC ont </w:t>
      </w:r>
      <w:r w:rsidR="001C1832">
        <w:t>également</w:t>
      </w:r>
      <w:r w:rsidR="0090474C">
        <w:t xml:space="preserve"> </w:t>
      </w:r>
      <w:r>
        <w:t>été</w:t>
      </w:r>
      <w:r w:rsidR="008D4E13">
        <w:t xml:space="preserve"> employées pour enrichir les mots clés employés pour les analyses sémantiques (annexe 4). Bien qu’elles présentent toujours des limites, les analyses sémantiques sont la seule méthode possible pour analyser </w:t>
      </w:r>
      <w:r w:rsidR="004E7654">
        <w:t xml:space="preserve">de façon exhaustive et harmonisée </w:t>
      </w:r>
      <w:r w:rsidR="008D4E13">
        <w:t>les très grands jeux de données financières telles que celles de l’ANR et de l’Union européenne.</w:t>
      </w:r>
    </w:p>
    <w:p w14:paraId="40BE958C" w14:textId="77777777" w:rsidR="006230FF" w:rsidRDefault="006230FF" w:rsidP="006230FF">
      <w:pPr>
        <w:pStyle w:val="Paragraphedeliste"/>
        <w:ind w:left="1429" w:firstLine="0"/>
      </w:pPr>
    </w:p>
    <w:p w14:paraId="3776A0D7" w14:textId="77777777" w:rsidR="004E7654" w:rsidRDefault="004E7654">
      <w:pPr>
        <w:spacing w:before="0" w:after="200" w:line="276" w:lineRule="auto"/>
        <w:ind w:firstLine="0"/>
        <w:jc w:val="left"/>
        <w:rPr>
          <w:u w:val="single"/>
        </w:rPr>
      </w:pPr>
      <w:r>
        <w:rPr>
          <w:u w:val="single"/>
        </w:rPr>
        <w:br w:type="page"/>
      </w:r>
    </w:p>
    <w:p w14:paraId="1B7268B7" w14:textId="529BA0DA" w:rsidR="001D4FB2" w:rsidRDefault="0090474C" w:rsidP="00690100">
      <w:pPr>
        <w:rPr>
          <w:u w:val="single"/>
        </w:rPr>
      </w:pPr>
      <w:r>
        <w:rPr>
          <w:u w:val="single"/>
        </w:rPr>
        <w:lastRenderedPageBreak/>
        <w:t xml:space="preserve">Une nécessaire harmonisation des </w:t>
      </w:r>
      <w:r w:rsidR="009506AD">
        <w:rPr>
          <w:u w:val="single"/>
        </w:rPr>
        <w:t xml:space="preserve">corpus de référence extraits </w:t>
      </w:r>
      <w:r w:rsidR="004E7654">
        <w:rPr>
          <w:u w:val="single"/>
        </w:rPr>
        <w:t>des rapports</w:t>
      </w:r>
      <w:r w:rsidR="009506AD">
        <w:rPr>
          <w:u w:val="single"/>
        </w:rPr>
        <w:t xml:space="preserve"> du</w:t>
      </w:r>
      <w:r>
        <w:rPr>
          <w:u w:val="single"/>
        </w:rPr>
        <w:t xml:space="preserve"> GIEC </w:t>
      </w:r>
      <w:r w:rsidR="007D0254">
        <w:rPr>
          <w:u w:val="single"/>
        </w:rPr>
        <w:t xml:space="preserve">dans </w:t>
      </w:r>
      <w:r w:rsidR="009506AD">
        <w:rPr>
          <w:u w:val="single"/>
        </w:rPr>
        <w:t xml:space="preserve">le cas de </w:t>
      </w:r>
      <w:r w:rsidR="007D0254">
        <w:rPr>
          <w:u w:val="single"/>
        </w:rPr>
        <w:t xml:space="preserve">quelques chapitres </w:t>
      </w:r>
      <w:r w:rsidR="004E7654">
        <w:rPr>
          <w:u w:val="single"/>
        </w:rPr>
        <w:t>afin d’éviter</w:t>
      </w:r>
      <w:r>
        <w:rPr>
          <w:u w:val="single"/>
        </w:rPr>
        <w:t xml:space="preserve"> </w:t>
      </w:r>
      <w:r w:rsidR="007D0254">
        <w:rPr>
          <w:u w:val="single"/>
        </w:rPr>
        <w:t>d</w:t>
      </w:r>
      <w:r>
        <w:rPr>
          <w:u w:val="single"/>
        </w:rPr>
        <w:t>es biais</w:t>
      </w:r>
      <w:r w:rsidR="007D0254">
        <w:rPr>
          <w:u w:val="single"/>
        </w:rPr>
        <w:t xml:space="preserve"> potentiels</w:t>
      </w:r>
    </w:p>
    <w:p w14:paraId="6CF91F12" w14:textId="43398C7F" w:rsidR="00F14F77" w:rsidRPr="003C3032" w:rsidRDefault="007D0254" w:rsidP="001B6D0C">
      <w:pPr>
        <w:rPr>
          <w:color w:val="000000"/>
        </w:rPr>
      </w:pPr>
      <w:r>
        <w:rPr>
          <w:color w:val="000000"/>
        </w:rPr>
        <w:t xml:space="preserve">De façon générale, la Cour </w:t>
      </w:r>
      <w:r w:rsidR="003C3032">
        <w:rPr>
          <w:color w:val="000000"/>
        </w:rPr>
        <w:t>a</w:t>
      </w:r>
      <w:r>
        <w:rPr>
          <w:color w:val="000000"/>
        </w:rPr>
        <w:t xml:space="preserve"> pu aisément mobiliser les </w:t>
      </w:r>
      <w:r w:rsidR="009506AD">
        <w:rPr>
          <w:color w:val="000000"/>
        </w:rPr>
        <w:t xml:space="preserve">corpus </w:t>
      </w:r>
      <w:r>
        <w:rPr>
          <w:color w:val="000000"/>
        </w:rPr>
        <w:t>du GIEC pour les besoins de son enquête, en utilisant les clés uniques des publications appelées DOI</w:t>
      </w:r>
      <w:r>
        <w:rPr>
          <w:rStyle w:val="Appelnotedebasdep"/>
          <w:color w:val="000000"/>
        </w:rPr>
        <w:footnoteReference w:id="5"/>
      </w:r>
      <w:r>
        <w:rPr>
          <w:color w:val="000000"/>
        </w:rPr>
        <w:t xml:space="preserve"> comme clé universelle p</w:t>
      </w:r>
      <w:r w:rsidR="003C3032">
        <w:rPr>
          <w:color w:val="000000"/>
        </w:rPr>
        <w:t>ermettant de relier ces citations avec les nombreux systèmes d’information de la recherche</w:t>
      </w:r>
      <w:r>
        <w:rPr>
          <w:color w:val="000000"/>
        </w:rPr>
        <w:t xml:space="preserve">. </w:t>
      </w:r>
      <w:r w:rsidR="009C0838">
        <w:rPr>
          <w:color w:val="000000"/>
        </w:rPr>
        <w:t xml:space="preserve">Une approche </w:t>
      </w:r>
      <w:r w:rsidR="00E2374D">
        <w:rPr>
          <w:color w:val="000000"/>
        </w:rPr>
        <w:t xml:space="preserve">également </w:t>
      </w:r>
      <w:r w:rsidR="009C0838">
        <w:rPr>
          <w:color w:val="000000"/>
        </w:rPr>
        <w:t>fondée sur l</w:t>
      </w:r>
      <w:r w:rsidR="00994EA5">
        <w:rPr>
          <w:color w:val="000000"/>
        </w:rPr>
        <w:t>’utilisation des</w:t>
      </w:r>
      <w:r w:rsidR="009C0838">
        <w:rPr>
          <w:color w:val="000000"/>
        </w:rPr>
        <w:t xml:space="preserve"> DOI a été mise en œuvre dans une étude ciblée sur le périmètre du 1</w:t>
      </w:r>
      <w:r w:rsidR="009C0838" w:rsidRPr="00F14F77">
        <w:rPr>
          <w:color w:val="000000"/>
          <w:vertAlign w:val="superscript"/>
        </w:rPr>
        <w:t>er</w:t>
      </w:r>
      <w:r w:rsidR="009C0838">
        <w:rPr>
          <w:color w:val="000000"/>
        </w:rPr>
        <w:t xml:space="preserve"> groupe de travail du GIEC</w:t>
      </w:r>
      <w:r w:rsidR="009C0838">
        <w:rPr>
          <w:rStyle w:val="Appelnotedebasdep"/>
          <w:color w:val="000000"/>
        </w:rPr>
        <w:footnoteReference w:id="6"/>
      </w:r>
      <w:r w:rsidR="009C0838">
        <w:rPr>
          <w:color w:val="000000"/>
        </w:rPr>
        <w:t>.</w:t>
      </w:r>
    </w:p>
    <w:p w14:paraId="7066E07C" w14:textId="6ADA0B57" w:rsidR="007D0254" w:rsidRDefault="006230FF" w:rsidP="001B6D0C">
      <w:r>
        <w:t xml:space="preserve">Dans le cadre de son analyse, la Cour a observé quelques </w:t>
      </w:r>
      <w:r w:rsidR="0090474C">
        <w:t xml:space="preserve">anomalies </w:t>
      </w:r>
      <w:r>
        <w:t xml:space="preserve">ponctuelles </w:t>
      </w:r>
      <w:r w:rsidR="0090474C">
        <w:t>dans certains fichiers bibliographiques du groupe 2 du GIEC qui ne correspondent pas toujours aux citations du rapport</w:t>
      </w:r>
      <w:r>
        <w:t xml:space="preserve">. </w:t>
      </w:r>
      <w:r w:rsidR="007D0254">
        <w:t xml:space="preserve">Ces anomalies ont été constatées en rapprochant les fichiers bibliographiques (BIB) mis à disposition sur le site web du GIEC aux sections bibliographiques correspondant des chapitres des rapports (PDF). L’ensemble de ces éléments sont disponibles en ligne sur le site GIEC et la méthode de correction ici proposée peut-être </w:t>
      </w:r>
      <w:r w:rsidR="009506AD">
        <w:t>intégralement</w:t>
      </w:r>
      <w:r w:rsidR="007D0254">
        <w:t xml:space="preserve"> répliquée. </w:t>
      </w:r>
    </w:p>
    <w:p w14:paraId="2306D6DA" w14:textId="2AF266EC" w:rsidR="007D0254" w:rsidRDefault="007D0254" w:rsidP="007D0254">
      <w:pPr>
        <w:rPr>
          <w:color w:val="000000"/>
        </w:rPr>
      </w:pPr>
      <w:r>
        <w:rPr>
          <w:color w:val="000000"/>
        </w:rPr>
        <w:t>Pour détecter les anomalies, deux critères ont été employés </w:t>
      </w:r>
      <w:r w:rsidR="003C3032">
        <w:rPr>
          <w:color w:val="000000"/>
        </w:rPr>
        <w:t xml:space="preserve">(voir </w:t>
      </w:r>
      <w:r w:rsidR="00F17D69">
        <w:rPr>
          <w:color w:val="000000"/>
        </w:rPr>
        <w:t>tableau ci-dessous</w:t>
      </w:r>
      <w:r w:rsidR="003C3032">
        <w:rPr>
          <w:color w:val="000000"/>
        </w:rPr>
        <w:t xml:space="preserve">) </w:t>
      </w:r>
      <w:r>
        <w:rPr>
          <w:color w:val="000000"/>
        </w:rPr>
        <w:t>:</w:t>
      </w:r>
    </w:p>
    <w:p w14:paraId="27E3D5D7" w14:textId="77777777" w:rsidR="003C3032" w:rsidRDefault="007D0254" w:rsidP="003C3032">
      <w:pPr>
        <w:pStyle w:val="Listepuces2"/>
      </w:pPr>
      <w:r>
        <w:t>Un critère « d’échelle », donné par le rapport entre le nombre total de références dans les fichiers BIB (avec ou sans DOI) et le nombre total de références attendues d’après les PDF (avec ou sans DOI) ;</w:t>
      </w:r>
    </w:p>
    <w:p w14:paraId="6FA3A51E" w14:textId="6E2B3197" w:rsidR="007D0254" w:rsidRDefault="007D0254" w:rsidP="003C3032">
      <w:pPr>
        <w:pStyle w:val="Listepuces2"/>
      </w:pPr>
      <w:r>
        <w:t xml:space="preserve">Un critère « ensembliste », fondé sur le calcul de la part des DOI des fichiers BIB </w:t>
      </w:r>
      <w:r w:rsidR="003C3032">
        <w:t>qu’il a été possible de retrouver</w:t>
      </w:r>
      <w:r>
        <w:t xml:space="preserve"> de façon parfaitement identique </w:t>
      </w:r>
      <w:r w:rsidR="003C3032">
        <w:t xml:space="preserve">(intersection mathématique) </w:t>
      </w:r>
      <w:r>
        <w:t xml:space="preserve">par la reconnaissance automatisée des DOI dans les PDF. </w:t>
      </w:r>
    </w:p>
    <w:p w14:paraId="133777ED" w14:textId="63A5AC57" w:rsidR="00F17D69" w:rsidRDefault="00195C26" w:rsidP="00195C26">
      <w:pPr>
        <w:pStyle w:val="Titretableau"/>
      </w:pPr>
      <w:r>
        <w:t xml:space="preserve"> Comparaison chapitre par chapitre </w:t>
      </w:r>
      <w:r w:rsidR="005D48AA">
        <w:t>des sources BIB et PDF.</w:t>
      </w:r>
    </w:p>
    <w:tbl>
      <w:tblPr>
        <w:tblStyle w:val="Grilledutableau"/>
        <w:tblW w:w="0" w:type="auto"/>
        <w:tblInd w:w="125" w:type="dxa"/>
        <w:tblLook w:val="04A0" w:firstRow="1" w:lastRow="0" w:firstColumn="1" w:lastColumn="0" w:noHBand="0" w:noVBand="1"/>
      </w:tblPr>
      <w:tblGrid>
        <w:gridCol w:w="782"/>
        <w:gridCol w:w="2082"/>
        <w:gridCol w:w="740"/>
        <w:gridCol w:w="916"/>
        <w:gridCol w:w="873"/>
        <w:gridCol w:w="782"/>
        <w:gridCol w:w="740"/>
        <w:gridCol w:w="1057"/>
        <w:gridCol w:w="957"/>
      </w:tblGrid>
      <w:tr w:rsidR="00D42547" w:rsidRPr="00D42547" w14:paraId="7BD13CBE" w14:textId="4E958576" w:rsidTr="005321A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43FC5E74" w14:textId="15FA6B29" w:rsidR="00FF7665" w:rsidRPr="00D42547" w:rsidRDefault="00FF7665" w:rsidP="00FF7665">
            <w:pPr>
              <w:spacing w:before="0" w:after="0"/>
              <w:ind w:firstLine="0"/>
              <w:rPr>
                <w:color w:val="000000"/>
                <w:sz w:val="18"/>
                <w:szCs w:val="18"/>
              </w:rPr>
            </w:pPr>
            <w:r w:rsidRPr="00D42547">
              <w:rPr>
                <w:sz w:val="18"/>
                <w:szCs w:val="18"/>
              </w:rPr>
              <w:t>Code employé pour identifier le chapitre (groupe du GIEC suivi du numéro de chapitre)</w:t>
            </w:r>
          </w:p>
        </w:tc>
        <w:tc>
          <w:tcPr>
            <w:tcW w:w="1686" w:type="dxa"/>
            <w:vAlign w:val="top"/>
          </w:tcPr>
          <w:p w14:paraId="43C07370" w14:textId="6D137F9C" w:rsidR="00FF7665" w:rsidRPr="00D42547" w:rsidRDefault="00FF7665" w:rsidP="00FF7665">
            <w:pPr>
              <w:spacing w:before="0" w:after="0"/>
              <w:ind w:firstLine="0"/>
              <w:cnfStyle w:val="100000000000" w:firstRow="1"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Nom du chapitre du GIEC</w:t>
            </w:r>
          </w:p>
        </w:tc>
        <w:tc>
          <w:tcPr>
            <w:tcW w:w="0" w:type="auto"/>
            <w:vAlign w:val="top"/>
          </w:tcPr>
          <w:p w14:paraId="49196DB9" w14:textId="34D8E73D" w:rsidR="00FF7665" w:rsidRPr="00D42547" w:rsidRDefault="00FF7665" w:rsidP="00FF7665">
            <w:pPr>
              <w:spacing w:before="0" w:after="0"/>
              <w:ind w:firstLine="0"/>
              <w:cnfStyle w:val="100000000000" w:firstRow="1"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Nombre de pages du fichier PDF [P]</w:t>
            </w:r>
          </w:p>
        </w:tc>
        <w:tc>
          <w:tcPr>
            <w:tcW w:w="0" w:type="auto"/>
            <w:vAlign w:val="top"/>
          </w:tcPr>
          <w:p w14:paraId="6F932A78" w14:textId="7D002F7B" w:rsidR="00FF7665" w:rsidRPr="00D42547" w:rsidRDefault="00FF7665" w:rsidP="00FF7665">
            <w:pPr>
              <w:spacing w:before="0" w:after="0"/>
              <w:ind w:firstLine="0"/>
              <w:cnfStyle w:val="100000000000" w:firstRow="1"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 xml:space="preserve">Estimation du nombre de références citées (37 en moyenne par page) </w:t>
            </w:r>
            <w:r w:rsidRPr="00D42547">
              <w:rPr>
                <w:sz w:val="18"/>
                <w:szCs w:val="18"/>
              </w:rPr>
              <w:br/>
              <w:t>[T = P x 37]</w:t>
            </w:r>
          </w:p>
        </w:tc>
        <w:tc>
          <w:tcPr>
            <w:tcW w:w="0" w:type="auto"/>
            <w:vAlign w:val="top"/>
          </w:tcPr>
          <w:p w14:paraId="49E9716E" w14:textId="37215826" w:rsidR="00FF7665" w:rsidRPr="00D42547" w:rsidRDefault="00FF7665" w:rsidP="00FF7665">
            <w:pPr>
              <w:spacing w:before="0" w:after="0"/>
              <w:ind w:firstLine="0"/>
              <w:cnfStyle w:val="100000000000" w:firstRow="1" w:lastRow="0" w:firstColumn="0" w:lastColumn="0" w:oddVBand="0" w:evenVBand="0" w:oddHBand="0" w:evenHBand="0" w:firstRowFirstColumn="0" w:firstRowLastColumn="0" w:lastRowFirstColumn="0" w:lastRowLastColumn="0"/>
              <w:rPr>
                <w:sz w:val="18"/>
                <w:szCs w:val="18"/>
              </w:rPr>
            </w:pPr>
            <w:r w:rsidRPr="00D42547">
              <w:rPr>
                <w:sz w:val="18"/>
                <w:szCs w:val="18"/>
              </w:rPr>
              <w:t>Nombre total de références dans le fichier BIB [Tb]</w:t>
            </w:r>
          </w:p>
        </w:tc>
        <w:tc>
          <w:tcPr>
            <w:tcW w:w="0" w:type="auto"/>
            <w:vAlign w:val="top"/>
          </w:tcPr>
          <w:p w14:paraId="66543192" w14:textId="79751A7A" w:rsidR="00FF7665" w:rsidRPr="00D42547" w:rsidRDefault="00FF7665" w:rsidP="00FF7665">
            <w:pPr>
              <w:spacing w:before="0" w:after="0"/>
              <w:ind w:firstLine="0"/>
              <w:cnfStyle w:val="100000000000" w:firstRow="1" w:lastRow="0" w:firstColumn="0" w:lastColumn="0" w:oddVBand="0" w:evenVBand="0" w:oddHBand="0" w:evenHBand="0" w:firstRowFirstColumn="0" w:firstRowLastColumn="0" w:lastRowFirstColumn="0" w:lastRowLastColumn="0"/>
              <w:rPr>
                <w:sz w:val="18"/>
                <w:szCs w:val="18"/>
              </w:rPr>
            </w:pPr>
            <w:r w:rsidRPr="00D42547">
              <w:rPr>
                <w:sz w:val="18"/>
                <w:szCs w:val="18"/>
              </w:rPr>
              <w:t xml:space="preserve">Critère d’échelle </w:t>
            </w:r>
            <w:r w:rsidRPr="00D42547">
              <w:rPr>
                <w:sz w:val="18"/>
                <w:szCs w:val="18"/>
              </w:rPr>
              <w:br/>
              <w:t>[Tb / T]</w:t>
            </w:r>
          </w:p>
        </w:tc>
        <w:tc>
          <w:tcPr>
            <w:tcW w:w="0" w:type="auto"/>
            <w:vAlign w:val="top"/>
          </w:tcPr>
          <w:p w14:paraId="5AD0EA67" w14:textId="3A386E96" w:rsidR="00FF7665" w:rsidRPr="00D42547" w:rsidRDefault="00FF7665" w:rsidP="00FF7665">
            <w:pPr>
              <w:spacing w:before="0" w:after="0"/>
              <w:ind w:firstLine="0"/>
              <w:cnfStyle w:val="100000000000" w:firstRow="1" w:lastRow="0" w:firstColumn="0" w:lastColumn="0" w:oddVBand="0" w:evenVBand="0" w:oddHBand="0" w:evenHBand="0" w:firstRowFirstColumn="0" w:firstRowLastColumn="0" w:lastRowFirstColumn="0" w:lastRowLastColumn="0"/>
              <w:rPr>
                <w:sz w:val="18"/>
                <w:szCs w:val="18"/>
              </w:rPr>
            </w:pPr>
            <w:r w:rsidRPr="00D42547">
              <w:rPr>
                <w:sz w:val="18"/>
                <w:szCs w:val="18"/>
              </w:rPr>
              <w:t>Nombre de DOI du BIB [Db]</w:t>
            </w:r>
          </w:p>
        </w:tc>
        <w:tc>
          <w:tcPr>
            <w:tcW w:w="0" w:type="auto"/>
            <w:vAlign w:val="top"/>
          </w:tcPr>
          <w:p w14:paraId="46F03AEB" w14:textId="4DC36F3F" w:rsidR="00FF7665" w:rsidRPr="00D42547" w:rsidRDefault="00FF7665" w:rsidP="00FF7665">
            <w:pPr>
              <w:spacing w:before="0" w:after="0"/>
              <w:ind w:firstLine="0"/>
              <w:cnfStyle w:val="100000000000" w:firstRow="1" w:lastRow="0" w:firstColumn="0" w:lastColumn="0" w:oddVBand="0" w:evenVBand="0" w:oddHBand="0" w:evenHBand="0" w:firstRowFirstColumn="0" w:firstRowLastColumn="0" w:lastRowFirstColumn="0" w:lastRowLastColumn="0"/>
              <w:rPr>
                <w:sz w:val="18"/>
                <w:szCs w:val="18"/>
              </w:rPr>
            </w:pPr>
            <w:r w:rsidRPr="00D42547">
              <w:rPr>
                <w:sz w:val="18"/>
                <w:szCs w:val="18"/>
              </w:rPr>
              <w:t>Nombre de DOI d</w:t>
            </w:r>
            <w:r w:rsidR="00D42547" w:rsidRPr="00D42547">
              <w:rPr>
                <w:sz w:val="18"/>
                <w:szCs w:val="18"/>
              </w:rPr>
              <w:t xml:space="preserve">ans l’intersection du PDF et du BIB </w:t>
            </w:r>
            <w:r w:rsidRPr="00D42547">
              <w:rPr>
                <w:sz w:val="18"/>
                <w:szCs w:val="18"/>
              </w:rPr>
              <w:t>[D</w:t>
            </w:r>
            <w:r w:rsidR="00D42547" w:rsidRPr="00D42547">
              <w:rPr>
                <w:sz w:val="18"/>
                <w:szCs w:val="18"/>
              </w:rPr>
              <w:t>i</w:t>
            </w:r>
            <w:r w:rsidR="0002702E">
              <w:rPr>
                <w:sz w:val="18"/>
                <w:szCs w:val="18"/>
              </w:rPr>
              <w:t>nter</w:t>
            </w:r>
            <w:r w:rsidRPr="00D42547">
              <w:rPr>
                <w:sz w:val="18"/>
                <w:szCs w:val="18"/>
              </w:rPr>
              <w:t>]</w:t>
            </w:r>
          </w:p>
        </w:tc>
        <w:tc>
          <w:tcPr>
            <w:tcW w:w="0" w:type="auto"/>
            <w:vAlign w:val="top"/>
          </w:tcPr>
          <w:p w14:paraId="592DEF0F" w14:textId="140D7EF5" w:rsidR="00FF7665" w:rsidRPr="00D42547" w:rsidRDefault="00D42547" w:rsidP="00FF7665">
            <w:pPr>
              <w:spacing w:before="0" w:after="0"/>
              <w:ind w:firstLine="0"/>
              <w:cnfStyle w:val="100000000000" w:firstRow="1" w:lastRow="0" w:firstColumn="0" w:lastColumn="0" w:oddVBand="0" w:evenVBand="0" w:oddHBand="0" w:evenHBand="0" w:firstRowFirstColumn="0" w:firstRowLastColumn="0" w:lastRowFirstColumn="0" w:lastRowLastColumn="0"/>
              <w:rPr>
                <w:sz w:val="18"/>
                <w:szCs w:val="18"/>
              </w:rPr>
            </w:pPr>
            <w:r w:rsidRPr="00D42547">
              <w:rPr>
                <w:sz w:val="18"/>
                <w:szCs w:val="18"/>
              </w:rPr>
              <w:t xml:space="preserve">Critère ensembliste </w:t>
            </w:r>
            <w:r w:rsidR="0002702E">
              <w:rPr>
                <w:sz w:val="18"/>
                <w:szCs w:val="18"/>
              </w:rPr>
              <w:t>[Dinter / Db]</w:t>
            </w:r>
          </w:p>
        </w:tc>
      </w:tr>
      <w:tr w:rsidR="00D42547" w:rsidRPr="00D42547" w14:paraId="087179D3" w14:textId="7E4C2DEC"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25144EAB" w14:textId="716C4523"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w:t>
            </w:r>
          </w:p>
        </w:tc>
        <w:tc>
          <w:tcPr>
            <w:tcW w:w="1686" w:type="dxa"/>
            <w:vAlign w:val="top"/>
          </w:tcPr>
          <w:p w14:paraId="171AC386" w14:textId="069B3E11"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Framing, Context, and Methods</w:t>
            </w:r>
          </w:p>
        </w:tc>
        <w:tc>
          <w:tcPr>
            <w:tcW w:w="0" w:type="auto"/>
            <w:vAlign w:val="top"/>
          </w:tcPr>
          <w:p w14:paraId="78CBB781" w14:textId="0C2CB731"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31</w:t>
            </w:r>
          </w:p>
        </w:tc>
        <w:tc>
          <w:tcPr>
            <w:tcW w:w="0" w:type="auto"/>
            <w:vAlign w:val="top"/>
          </w:tcPr>
          <w:p w14:paraId="3A4BC92C" w14:textId="2A7C9BEF"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1147</w:t>
            </w:r>
          </w:p>
        </w:tc>
        <w:tc>
          <w:tcPr>
            <w:tcW w:w="0" w:type="auto"/>
            <w:vAlign w:val="top"/>
          </w:tcPr>
          <w:p w14:paraId="1B2DD34E" w14:textId="54800B95"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1138</w:t>
            </w:r>
          </w:p>
        </w:tc>
        <w:tc>
          <w:tcPr>
            <w:tcW w:w="0" w:type="auto"/>
            <w:vAlign w:val="top"/>
          </w:tcPr>
          <w:p w14:paraId="0F98C0F4" w14:textId="4F4948B1"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99%</w:t>
            </w:r>
          </w:p>
        </w:tc>
        <w:tc>
          <w:tcPr>
            <w:tcW w:w="0" w:type="auto"/>
            <w:vAlign w:val="top"/>
          </w:tcPr>
          <w:p w14:paraId="2E4C40A5" w14:textId="7EEA30C5"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1083</w:t>
            </w:r>
          </w:p>
        </w:tc>
        <w:tc>
          <w:tcPr>
            <w:tcW w:w="0" w:type="auto"/>
            <w:vAlign w:val="top"/>
          </w:tcPr>
          <w:p w14:paraId="7DA09BC3" w14:textId="54136EE7"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778</w:t>
            </w:r>
          </w:p>
        </w:tc>
        <w:tc>
          <w:tcPr>
            <w:tcW w:w="0" w:type="auto"/>
            <w:vAlign w:val="top"/>
          </w:tcPr>
          <w:p w14:paraId="4B8AA2B5" w14:textId="41F54145"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72%</w:t>
            </w:r>
          </w:p>
        </w:tc>
      </w:tr>
      <w:tr w:rsidR="00D42547" w:rsidRPr="00D42547" w14:paraId="280E5EAE" w14:textId="2A68216F"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045B4928" w14:textId="61A5388A"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I_2</w:t>
            </w:r>
          </w:p>
        </w:tc>
        <w:tc>
          <w:tcPr>
            <w:tcW w:w="1686" w:type="dxa"/>
            <w:vAlign w:val="top"/>
          </w:tcPr>
          <w:p w14:paraId="3D122B2B" w14:textId="0CA8C009"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Changing State of the Climate System</w:t>
            </w:r>
          </w:p>
        </w:tc>
        <w:tc>
          <w:tcPr>
            <w:tcW w:w="0" w:type="auto"/>
            <w:vAlign w:val="top"/>
          </w:tcPr>
          <w:p w14:paraId="7D0EEDD4" w14:textId="0976DE18"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41</w:t>
            </w:r>
          </w:p>
        </w:tc>
        <w:tc>
          <w:tcPr>
            <w:tcW w:w="0" w:type="auto"/>
            <w:vAlign w:val="top"/>
          </w:tcPr>
          <w:p w14:paraId="40C6DCB8" w14:textId="3032F006"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1517</w:t>
            </w:r>
          </w:p>
        </w:tc>
        <w:tc>
          <w:tcPr>
            <w:tcW w:w="0" w:type="auto"/>
            <w:vAlign w:val="top"/>
          </w:tcPr>
          <w:p w14:paraId="7798C9F9" w14:textId="497687EA"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1552</w:t>
            </w:r>
          </w:p>
        </w:tc>
        <w:tc>
          <w:tcPr>
            <w:tcW w:w="0" w:type="auto"/>
            <w:vAlign w:val="top"/>
          </w:tcPr>
          <w:p w14:paraId="5A62AC34" w14:textId="6348FF23"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102%</w:t>
            </w:r>
          </w:p>
        </w:tc>
        <w:tc>
          <w:tcPr>
            <w:tcW w:w="0" w:type="auto"/>
            <w:vAlign w:val="top"/>
          </w:tcPr>
          <w:p w14:paraId="0CB5E921" w14:textId="2373E648"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1543</w:t>
            </w:r>
          </w:p>
        </w:tc>
        <w:tc>
          <w:tcPr>
            <w:tcW w:w="0" w:type="auto"/>
            <w:vAlign w:val="top"/>
          </w:tcPr>
          <w:p w14:paraId="6F160625" w14:textId="08926EF6"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1106</w:t>
            </w:r>
          </w:p>
        </w:tc>
        <w:tc>
          <w:tcPr>
            <w:tcW w:w="0" w:type="auto"/>
            <w:vAlign w:val="top"/>
          </w:tcPr>
          <w:p w14:paraId="77D76348" w14:textId="78D5B8D9"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72%</w:t>
            </w:r>
          </w:p>
        </w:tc>
      </w:tr>
      <w:tr w:rsidR="00D42547" w:rsidRPr="00D42547" w14:paraId="51AB7B88" w14:textId="16A3ADF5"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4A52F8E6" w14:textId="1A76E478"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I_3</w:t>
            </w:r>
          </w:p>
        </w:tc>
        <w:tc>
          <w:tcPr>
            <w:tcW w:w="1686" w:type="dxa"/>
            <w:vAlign w:val="top"/>
          </w:tcPr>
          <w:p w14:paraId="6C237887" w14:textId="40DBD30A"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Human Influence on the Climate System</w:t>
            </w:r>
          </w:p>
        </w:tc>
        <w:tc>
          <w:tcPr>
            <w:tcW w:w="0" w:type="auto"/>
            <w:vAlign w:val="top"/>
          </w:tcPr>
          <w:p w14:paraId="27D3BF3E" w14:textId="2D2EDD96"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31</w:t>
            </w:r>
          </w:p>
        </w:tc>
        <w:tc>
          <w:tcPr>
            <w:tcW w:w="0" w:type="auto"/>
            <w:vAlign w:val="top"/>
          </w:tcPr>
          <w:p w14:paraId="015C6C18" w14:textId="79F7A14D"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1147</w:t>
            </w:r>
          </w:p>
        </w:tc>
        <w:tc>
          <w:tcPr>
            <w:tcW w:w="0" w:type="auto"/>
            <w:vAlign w:val="top"/>
          </w:tcPr>
          <w:p w14:paraId="7419F250" w14:textId="0270C779"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1148</w:t>
            </w:r>
          </w:p>
        </w:tc>
        <w:tc>
          <w:tcPr>
            <w:tcW w:w="0" w:type="auto"/>
            <w:vAlign w:val="top"/>
          </w:tcPr>
          <w:p w14:paraId="4D4D333C" w14:textId="3BA113B2"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100%</w:t>
            </w:r>
          </w:p>
        </w:tc>
        <w:tc>
          <w:tcPr>
            <w:tcW w:w="0" w:type="auto"/>
            <w:vAlign w:val="top"/>
          </w:tcPr>
          <w:p w14:paraId="12643C30" w14:textId="747B644F"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1143</w:t>
            </w:r>
          </w:p>
        </w:tc>
        <w:tc>
          <w:tcPr>
            <w:tcW w:w="0" w:type="auto"/>
            <w:vAlign w:val="top"/>
          </w:tcPr>
          <w:p w14:paraId="312B8F29" w14:textId="74B77B14"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752</w:t>
            </w:r>
          </w:p>
        </w:tc>
        <w:tc>
          <w:tcPr>
            <w:tcW w:w="0" w:type="auto"/>
            <w:vAlign w:val="top"/>
          </w:tcPr>
          <w:p w14:paraId="20554C2C" w14:textId="3A21534B"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66%</w:t>
            </w:r>
          </w:p>
        </w:tc>
      </w:tr>
      <w:tr w:rsidR="00D42547" w:rsidRPr="00D42547" w14:paraId="62438720" w14:textId="7584FC85"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3AAEEDB2" w14:textId="5E279D5E"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lastRenderedPageBreak/>
              <w:t>I_4</w:t>
            </w:r>
          </w:p>
        </w:tc>
        <w:tc>
          <w:tcPr>
            <w:tcW w:w="1686" w:type="dxa"/>
            <w:vAlign w:val="top"/>
          </w:tcPr>
          <w:p w14:paraId="63E18A12" w14:textId="4C3C0232"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Future Global Climate : Scenario-based Projections and Near-term Information</w:t>
            </w:r>
          </w:p>
        </w:tc>
        <w:tc>
          <w:tcPr>
            <w:tcW w:w="0" w:type="auto"/>
            <w:vAlign w:val="top"/>
          </w:tcPr>
          <w:p w14:paraId="5E7ACE85" w14:textId="2BF3F0B3"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27</w:t>
            </w:r>
          </w:p>
        </w:tc>
        <w:tc>
          <w:tcPr>
            <w:tcW w:w="0" w:type="auto"/>
            <w:vAlign w:val="top"/>
          </w:tcPr>
          <w:p w14:paraId="2851B96E" w14:textId="4865C1E4"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999</w:t>
            </w:r>
          </w:p>
        </w:tc>
        <w:tc>
          <w:tcPr>
            <w:tcW w:w="0" w:type="auto"/>
            <w:vAlign w:val="top"/>
          </w:tcPr>
          <w:p w14:paraId="5E09196B" w14:textId="2D7D69FC"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1008</w:t>
            </w:r>
          </w:p>
        </w:tc>
        <w:tc>
          <w:tcPr>
            <w:tcW w:w="0" w:type="auto"/>
            <w:vAlign w:val="top"/>
          </w:tcPr>
          <w:p w14:paraId="2431699E" w14:textId="3F57BC9E"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101%</w:t>
            </w:r>
          </w:p>
        </w:tc>
        <w:tc>
          <w:tcPr>
            <w:tcW w:w="0" w:type="auto"/>
            <w:vAlign w:val="top"/>
          </w:tcPr>
          <w:p w14:paraId="733B318D" w14:textId="49841622"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1005</w:t>
            </w:r>
          </w:p>
        </w:tc>
        <w:tc>
          <w:tcPr>
            <w:tcW w:w="0" w:type="auto"/>
            <w:vAlign w:val="top"/>
          </w:tcPr>
          <w:p w14:paraId="5491A994" w14:textId="3DF99272"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653</w:t>
            </w:r>
          </w:p>
        </w:tc>
        <w:tc>
          <w:tcPr>
            <w:tcW w:w="0" w:type="auto"/>
            <w:vAlign w:val="top"/>
          </w:tcPr>
          <w:p w14:paraId="09D879EC" w14:textId="2B8544D5"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65%</w:t>
            </w:r>
          </w:p>
        </w:tc>
      </w:tr>
      <w:tr w:rsidR="00D42547" w:rsidRPr="00D42547" w14:paraId="7895325F" w14:textId="32A27078"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53A3D27B" w14:textId="30CD0DD2"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I_5</w:t>
            </w:r>
          </w:p>
        </w:tc>
        <w:tc>
          <w:tcPr>
            <w:tcW w:w="1686" w:type="dxa"/>
            <w:vAlign w:val="top"/>
          </w:tcPr>
          <w:p w14:paraId="4ECE9C30" w14:textId="352D10A8"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Global Carbon and Other Biogeochemical Cycles and Feedbacks</w:t>
            </w:r>
          </w:p>
        </w:tc>
        <w:tc>
          <w:tcPr>
            <w:tcW w:w="0" w:type="auto"/>
            <w:vAlign w:val="top"/>
          </w:tcPr>
          <w:p w14:paraId="674ABFAB" w14:textId="02CC30E2"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37</w:t>
            </w:r>
          </w:p>
        </w:tc>
        <w:tc>
          <w:tcPr>
            <w:tcW w:w="0" w:type="auto"/>
            <w:vAlign w:val="top"/>
          </w:tcPr>
          <w:p w14:paraId="39A7E1FB" w14:textId="6E7BF48A"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1369</w:t>
            </w:r>
          </w:p>
        </w:tc>
        <w:tc>
          <w:tcPr>
            <w:tcW w:w="0" w:type="auto"/>
            <w:vAlign w:val="top"/>
          </w:tcPr>
          <w:p w14:paraId="4DDA27AB" w14:textId="23EBCB99"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1349</w:t>
            </w:r>
          </w:p>
        </w:tc>
        <w:tc>
          <w:tcPr>
            <w:tcW w:w="0" w:type="auto"/>
            <w:vAlign w:val="top"/>
          </w:tcPr>
          <w:p w14:paraId="0E014661" w14:textId="27EE6A06"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99%</w:t>
            </w:r>
          </w:p>
        </w:tc>
        <w:tc>
          <w:tcPr>
            <w:tcW w:w="0" w:type="auto"/>
            <w:vAlign w:val="top"/>
          </w:tcPr>
          <w:p w14:paraId="5EA0E736" w14:textId="44219AD3"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1325</w:t>
            </w:r>
          </w:p>
        </w:tc>
        <w:tc>
          <w:tcPr>
            <w:tcW w:w="0" w:type="auto"/>
            <w:vAlign w:val="top"/>
          </w:tcPr>
          <w:p w14:paraId="2C88CBCF" w14:textId="2A73F3B6"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1053</w:t>
            </w:r>
          </w:p>
        </w:tc>
        <w:tc>
          <w:tcPr>
            <w:tcW w:w="0" w:type="auto"/>
            <w:vAlign w:val="top"/>
          </w:tcPr>
          <w:p w14:paraId="1CC16D9C" w14:textId="32AE5807"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79%</w:t>
            </w:r>
          </w:p>
        </w:tc>
      </w:tr>
      <w:tr w:rsidR="00D42547" w:rsidRPr="00D42547" w14:paraId="3AFBC69E" w14:textId="2BE4EE4A"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0EBA5EB3" w14:textId="4597EFA1"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I_6</w:t>
            </w:r>
          </w:p>
        </w:tc>
        <w:tc>
          <w:tcPr>
            <w:tcW w:w="1686" w:type="dxa"/>
            <w:vAlign w:val="top"/>
          </w:tcPr>
          <w:p w14:paraId="1ECFB9FE" w14:textId="1CE4C45E"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Short-lived Climate Forcers</w:t>
            </w:r>
          </w:p>
        </w:tc>
        <w:tc>
          <w:tcPr>
            <w:tcW w:w="0" w:type="auto"/>
            <w:vAlign w:val="top"/>
          </w:tcPr>
          <w:p w14:paraId="221F0B42" w14:textId="246132F2"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25</w:t>
            </w:r>
          </w:p>
        </w:tc>
        <w:tc>
          <w:tcPr>
            <w:tcW w:w="0" w:type="auto"/>
            <w:vAlign w:val="top"/>
          </w:tcPr>
          <w:p w14:paraId="1BFFAF7B" w14:textId="3FEC2C2E"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925</w:t>
            </w:r>
          </w:p>
        </w:tc>
        <w:tc>
          <w:tcPr>
            <w:tcW w:w="0" w:type="auto"/>
            <w:vAlign w:val="top"/>
          </w:tcPr>
          <w:p w14:paraId="7E1EB8B2" w14:textId="00663FED"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858</w:t>
            </w:r>
          </w:p>
        </w:tc>
        <w:tc>
          <w:tcPr>
            <w:tcW w:w="0" w:type="auto"/>
            <w:vAlign w:val="top"/>
          </w:tcPr>
          <w:p w14:paraId="19A98AD6" w14:textId="6DAF0F1B"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93%</w:t>
            </w:r>
          </w:p>
        </w:tc>
        <w:tc>
          <w:tcPr>
            <w:tcW w:w="0" w:type="auto"/>
            <w:vAlign w:val="top"/>
          </w:tcPr>
          <w:p w14:paraId="49436C6A" w14:textId="4479547C"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867</w:t>
            </w:r>
          </w:p>
        </w:tc>
        <w:tc>
          <w:tcPr>
            <w:tcW w:w="0" w:type="auto"/>
            <w:vAlign w:val="top"/>
          </w:tcPr>
          <w:p w14:paraId="10B907D8" w14:textId="3D594DDB"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633</w:t>
            </w:r>
          </w:p>
        </w:tc>
        <w:tc>
          <w:tcPr>
            <w:tcW w:w="0" w:type="auto"/>
            <w:vAlign w:val="top"/>
          </w:tcPr>
          <w:p w14:paraId="08965FFB" w14:textId="6573C44E"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73%</w:t>
            </w:r>
          </w:p>
        </w:tc>
      </w:tr>
      <w:tr w:rsidR="00D42547" w:rsidRPr="00D42547" w14:paraId="415DAD2A" w14:textId="2F0492F7"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67FF796E" w14:textId="70D0D21F"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I_7</w:t>
            </w:r>
          </w:p>
        </w:tc>
        <w:tc>
          <w:tcPr>
            <w:tcW w:w="1686" w:type="dxa"/>
            <w:vAlign w:val="top"/>
          </w:tcPr>
          <w:p w14:paraId="4EE26F97" w14:textId="0F4DFAA1"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The Earth's Energy Budget, Climate Feedbacks and Climate Sensivity</w:t>
            </w:r>
          </w:p>
        </w:tc>
        <w:tc>
          <w:tcPr>
            <w:tcW w:w="0" w:type="auto"/>
            <w:vAlign w:val="top"/>
          </w:tcPr>
          <w:p w14:paraId="5FDFCCA5" w14:textId="6267B860"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29</w:t>
            </w:r>
          </w:p>
        </w:tc>
        <w:tc>
          <w:tcPr>
            <w:tcW w:w="0" w:type="auto"/>
            <w:vAlign w:val="top"/>
          </w:tcPr>
          <w:p w14:paraId="27BAB926" w14:textId="401928A5"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1073</w:t>
            </w:r>
          </w:p>
        </w:tc>
        <w:tc>
          <w:tcPr>
            <w:tcW w:w="0" w:type="auto"/>
            <w:vAlign w:val="top"/>
          </w:tcPr>
          <w:p w14:paraId="435B3C79" w14:textId="6FE37EDC"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1032</w:t>
            </w:r>
          </w:p>
        </w:tc>
        <w:tc>
          <w:tcPr>
            <w:tcW w:w="0" w:type="auto"/>
            <w:vAlign w:val="top"/>
          </w:tcPr>
          <w:p w14:paraId="096FC8A8" w14:textId="0586B67C"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96%</w:t>
            </w:r>
          </w:p>
        </w:tc>
        <w:tc>
          <w:tcPr>
            <w:tcW w:w="0" w:type="auto"/>
            <w:vAlign w:val="top"/>
          </w:tcPr>
          <w:p w14:paraId="6E1E89DF" w14:textId="20E18F66"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1017</w:t>
            </w:r>
          </w:p>
        </w:tc>
        <w:tc>
          <w:tcPr>
            <w:tcW w:w="0" w:type="auto"/>
            <w:vAlign w:val="top"/>
          </w:tcPr>
          <w:p w14:paraId="35D6C412" w14:textId="260CA200"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669</w:t>
            </w:r>
          </w:p>
        </w:tc>
        <w:tc>
          <w:tcPr>
            <w:tcW w:w="0" w:type="auto"/>
            <w:vAlign w:val="top"/>
          </w:tcPr>
          <w:p w14:paraId="5D86E386" w14:textId="253ED448"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66%</w:t>
            </w:r>
          </w:p>
        </w:tc>
      </w:tr>
      <w:tr w:rsidR="00D42547" w:rsidRPr="00D42547" w14:paraId="07EA8616" w14:textId="11F6E681"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41C8ED3D" w14:textId="1619D8EA"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I_8</w:t>
            </w:r>
          </w:p>
        </w:tc>
        <w:tc>
          <w:tcPr>
            <w:tcW w:w="1686" w:type="dxa"/>
            <w:vAlign w:val="top"/>
          </w:tcPr>
          <w:p w14:paraId="544213DA" w14:textId="3D94B9F8"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Water Cycle Changes</w:t>
            </w:r>
          </w:p>
        </w:tc>
        <w:tc>
          <w:tcPr>
            <w:tcW w:w="0" w:type="auto"/>
            <w:vAlign w:val="top"/>
          </w:tcPr>
          <w:p w14:paraId="0600721B" w14:textId="20391FC1"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52</w:t>
            </w:r>
          </w:p>
        </w:tc>
        <w:tc>
          <w:tcPr>
            <w:tcW w:w="0" w:type="auto"/>
            <w:vAlign w:val="top"/>
          </w:tcPr>
          <w:p w14:paraId="5A263C77" w14:textId="4A83F279"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1924</w:t>
            </w:r>
          </w:p>
        </w:tc>
        <w:tc>
          <w:tcPr>
            <w:tcW w:w="0" w:type="auto"/>
            <w:vAlign w:val="top"/>
          </w:tcPr>
          <w:p w14:paraId="75F9EBE9" w14:textId="1C137091"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1901</w:t>
            </w:r>
          </w:p>
        </w:tc>
        <w:tc>
          <w:tcPr>
            <w:tcW w:w="0" w:type="auto"/>
            <w:vAlign w:val="top"/>
          </w:tcPr>
          <w:p w14:paraId="5DE6DF77" w14:textId="30D22306"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99%</w:t>
            </w:r>
          </w:p>
        </w:tc>
        <w:tc>
          <w:tcPr>
            <w:tcW w:w="0" w:type="auto"/>
            <w:vAlign w:val="top"/>
          </w:tcPr>
          <w:p w14:paraId="29D794FB" w14:textId="28315A1C"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1880</w:t>
            </w:r>
          </w:p>
        </w:tc>
        <w:tc>
          <w:tcPr>
            <w:tcW w:w="0" w:type="auto"/>
            <w:vAlign w:val="top"/>
          </w:tcPr>
          <w:p w14:paraId="41722030" w14:textId="4DAFB2DD"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1320</w:t>
            </w:r>
          </w:p>
        </w:tc>
        <w:tc>
          <w:tcPr>
            <w:tcW w:w="0" w:type="auto"/>
            <w:vAlign w:val="top"/>
          </w:tcPr>
          <w:p w14:paraId="47F5ACF8" w14:textId="76628FDE"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70%</w:t>
            </w:r>
          </w:p>
        </w:tc>
      </w:tr>
      <w:tr w:rsidR="00D42547" w:rsidRPr="00D42547" w14:paraId="2EC587EB" w14:textId="7D28C088"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4B26C033" w14:textId="78A340FA"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I_9</w:t>
            </w:r>
          </w:p>
        </w:tc>
        <w:tc>
          <w:tcPr>
            <w:tcW w:w="1686" w:type="dxa"/>
            <w:vAlign w:val="top"/>
          </w:tcPr>
          <w:p w14:paraId="28A845F0" w14:textId="0DAF43E0"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Ocean, Cryosphere and Sea Level Change</w:t>
            </w:r>
          </w:p>
        </w:tc>
        <w:tc>
          <w:tcPr>
            <w:tcW w:w="0" w:type="auto"/>
            <w:vAlign w:val="top"/>
          </w:tcPr>
          <w:p w14:paraId="5A8FC0C2" w14:textId="42F9F11C"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40</w:t>
            </w:r>
          </w:p>
        </w:tc>
        <w:tc>
          <w:tcPr>
            <w:tcW w:w="0" w:type="auto"/>
            <w:vAlign w:val="top"/>
          </w:tcPr>
          <w:p w14:paraId="57E2B1A2" w14:textId="09A3A142"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1480</w:t>
            </w:r>
          </w:p>
        </w:tc>
        <w:tc>
          <w:tcPr>
            <w:tcW w:w="0" w:type="auto"/>
            <w:vAlign w:val="top"/>
          </w:tcPr>
          <w:p w14:paraId="5347017E" w14:textId="08966770"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1504</w:t>
            </w:r>
          </w:p>
        </w:tc>
        <w:tc>
          <w:tcPr>
            <w:tcW w:w="0" w:type="auto"/>
            <w:vAlign w:val="top"/>
          </w:tcPr>
          <w:p w14:paraId="1C319089" w14:textId="0D0AE764"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102%</w:t>
            </w:r>
          </w:p>
        </w:tc>
        <w:tc>
          <w:tcPr>
            <w:tcW w:w="0" w:type="auto"/>
            <w:vAlign w:val="top"/>
          </w:tcPr>
          <w:p w14:paraId="2DD204E9" w14:textId="1924AE33"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1492</w:t>
            </w:r>
          </w:p>
        </w:tc>
        <w:tc>
          <w:tcPr>
            <w:tcW w:w="0" w:type="auto"/>
            <w:vAlign w:val="top"/>
          </w:tcPr>
          <w:p w14:paraId="4E7DAC41" w14:textId="686DB275"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976</w:t>
            </w:r>
          </w:p>
        </w:tc>
        <w:tc>
          <w:tcPr>
            <w:tcW w:w="0" w:type="auto"/>
            <w:vAlign w:val="top"/>
          </w:tcPr>
          <w:p w14:paraId="1F6F1E2A" w14:textId="3E361CF4"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65%</w:t>
            </w:r>
          </w:p>
        </w:tc>
      </w:tr>
      <w:tr w:rsidR="00D42547" w:rsidRPr="00D42547" w14:paraId="10146104" w14:textId="1FBEC436"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6AFC03B5" w14:textId="2A00AAF6"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I_10</w:t>
            </w:r>
          </w:p>
        </w:tc>
        <w:tc>
          <w:tcPr>
            <w:tcW w:w="1686" w:type="dxa"/>
            <w:vAlign w:val="top"/>
          </w:tcPr>
          <w:p w14:paraId="61271F94" w14:textId="5EDF5053"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Linking Global to Regional Clima</w:t>
            </w:r>
            <w:r w:rsidR="001C1832">
              <w:rPr>
                <w:sz w:val="18"/>
                <w:szCs w:val="18"/>
                <w:lang w:val="en-US"/>
              </w:rPr>
              <w:t>t</w:t>
            </w:r>
            <w:r w:rsidRPr="00D42547">
              <w:rPr>
                <w:sz w:val="18"/>
                <w:szCs w:val="18"/>
                <w:lang w:val="en-US"/>
              </w:rPr>
              <w:t>e Change</w:t>
            </w:r>
          </w:p>
        </w:tc>
        <w:tc>
          <w:tcPr>
            <w:tcW w:w="0" w:type="auto"/>
            <w:vAlign w:val="top"/>
          </w:tcPr>
          <w:p w14:paraId="34F34F1A" w14:textId="656E0B89"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49</w:t>
            </w:r>
          </w:p>
        </w:tc>
        <w:tc>
          <w:tcPr>
            <w:tcW w:w="0" w:type="auto"/>
            <w:vAlign w:val="top"/>
          </w:tcPr>
          <w:p w14:paraId="752E6638" w14:textId="49BD6734"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1813</w:t>
            </w:r>
          </w:p>
        </w:tc>
        <w:tc>
          <w:tcPr>
            <w:tcW w:w="0" w:type="auto"/>
            <w:vAlign w:val="top"/>
          </w:tcPr>
          <w:p w14:paraId="3DE2F496" w14:textId="765BA78A"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1764</w:t>
            </w:r>
          </w:p>
        </w:tc>
        <w:tc>
          <w:tcPr>
            <w:tcW w:w="0" w:type="auto"/>
            <w:vAlign w:val="top"/>
          </w:tcPr>
          <w:p w14:paraId="6AB130BB" w14:textId="35374C86"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97%</w:t>
            </w:r>
          </w:p>
        </w:tc>
        <w:tc>
          <w:tcPr>
            <w:tcW w:w="0" w:type="auto"/>
            <w:vAlign w:val="top"/>
          </w:tcPr>
          <w:p w14:paraId="30457313" w14:textId="1D30721A"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1719</w:t>
            </w:r>
          </w:p>
        </w:tc>
        <w:tc>
          <w:tcPr>
            <w:tcW w:w="0" w:type="auto"/>
            <w:vAlign w:val="top"/>
          </w:tcPr>
          <w:p w14:paraId="43459ACD" w14:textId="53641B1A"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1234</w:t>
            </w:r>
          </w:p>
        </w:tc>
        <w:tc>
          <w:tcPr>
            <w:tcW w:w="0" w:type="auto"/>
            <w:vAlign w:val="top"/>
          </w:tcPr>
          <w:p w14:paraId="747A2049" w14:textId="3D01864C"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72%</w:t>
            </w:r>
          </w:p>
        </w:tc>
      </w:tr>
      <w:tr w:rsidR="00D42547" w:rsidRPr="00D42547" w14:paraId="04BB5FC0" w14:textId="01B3A0C5"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78DA94DE" w14:textId="76AB67D2"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I_11</w:t>
            </w:r>
          </w:p>
        </w:tc>
        <w:tc>
          <w:tcPr>
            <w:tcW w:w="1686" w:type="dxa"/>
            <w:vAlign w:val="top"/>
          </w:tcPr>
          <w:p w14:paraId="748DEE40" w14:textId="7AEA178F"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Weather and Climate Extreme Events in a Changing Climate</w:t>
            </w:r>
          </w:p>
        </w:tc>
        <w:tc>
          <w:tcPr>
            <w:tcW w:w="0" w:type="auto"/>
            <w:vAlign w:val="top"/>
          </w:tcPr>
          <w:p w14:paraId="03F9F2C8" w14:textId="022D06F8"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53</w:t>
            </w:r>
          </w:p>
        </w:tc>
        <w:tc>
          <w:tcPr>
            <w:tcW w:w="0" w:type="auto"/>
            <w:vAlign w:val="top"/>
          </w:tcPr>
          <w:p w14:paraId="26E39AEE" w14:textId="1470F9BD"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1961</w:t>
            </w:r>
          </w:p>
        </w:tc>
        <w:tc>
          <w:tcPr>
            <w:tcW w:w="0" w:type="auto"/>
            <w:vAlign w:val="top"/>
          </w:tcPr>
          <w:p w14:paraId="47E2F5E8" w14:textId="257F8008"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1776</w:t>
            </w:r>
          </w:p>
        </w:tc>
        <w:tc>
          <w:tcPr>
            <w:tcW w:w="0" w:type="auto"/>
            <w:vAlign w:val="top"/>
          </w:tcPr>
          <w:p w14:paraId="0BDB9B10" w14:textId="275F7418"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91%</w:t>
            </w:r>
          </w:p>
        </w:tc>
        <w:tc>
          <w:tcPr>
            <w:tcW w:w="0" w:type="auto"/>
            <w:vAlign w:val="top"/>
          </w:tcPr>
          <w:p w14:paraId="2C533E7D" w14:textId="287E756B"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1864</w:t>
            </w:r>
          </w:p>
        </w:tc>
        <w:tc>
          <w:tcPr>
            <w:tcW w:w="0" w:type="auto"/>
            <w:vAlign w:val="top"/>
          </w:tcPr>
          <w:p w14:paraId="496716D7" w14:textId="4270A42A"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1333</w:t>
            </w:r>
          </w:p>
        </w:tc>
        <w:tc>
          <w:tcPr>
            <w:tcW w:w="0" w:type="auto"/>
            <w:vAlign w:val="top"/>
          </w:tcPr>
          <w:p w14:paraId="632B53A5" w14:textId="7E89DA49"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72%</w:t>
            </w:r>
          </w:p>
        </w:tc>
      </w:tr>
      <w:tr w:rsidR="00D42547" w:rsidRPr="00D42547" w14:paraId="3EE25B74" w14:textId="21A37A84"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23550093" w14:textId="28BAD5EE"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I_12</w:t>
            </w:r>
          </w:p>
        </w:tc>
        <w:tc>
          <w:tcPr>
            <w:tcW w:w="1686" w:type="dxa"/>
            <w:vAlign w:val="top"/>
          </w:tcPr>
          <w:p w14:paraId="0F03C73F" w14:textId="0196CDE0"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Climate Change Information for Regional Impact and for Risk Assessment</w:t>
            </w:r>
          </w:p>
        </w:tc>
        <w:tc>
          <w:tcPr>
            <w:tcW w:w="0" w:type="auto"/>
            <w:vAlign w:val="top"/>
          </w:tcPr>
          <w:p w14:paraId="1EFF6613" w14:textId="4D29907E"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49</w:t>
            </w:r>
          </w:p>
        </w:tc>
        <w:tc>
          <w:tcPr>
            <w:tcW w:w="0" w:type="auto"/>
            <w:vAlign w:val="top"/>
          </w:tcPr>
          <w:p w14:paraId="46FBA47E" w14:textId="4E991188"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1813</w:t>
            </w:r>
          </w:p>
        </w:tc>
        <w:tc>
          <w:tcPr>
            <w:tcW w:w="0" w:type="auto"/>
            <w:vAlign w:val="top"/>
          </w:tcPr>
          <w:p w14:paraId="74405F5E" w14:textId="13F5979C"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1770</w:t>
            </w:r>
          </w:p>
        </w:tc>
        <w:tc>
          <w:tcPr>
            <w:tcW w:w="0" w:type="auto"/>
            <w:vAlign w:val="top"/>
          </w:tcPr>
          <w:p w14:paraId="2C0E486B" w14:textId="4FC5FBCF"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98%</w:t>
            </w:r>
          </w:p>
        </w:tc>
        <w:tc>
          <w:tcPr>
            <w:tcW w:w="0" w:type="auto"/>
            <w:vAlign w:val="top"/>
          </w:tcPr>
          <w:p w14:paraId="6341235E" w14:textId="2FBD9BB9"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1706</w:t>
            </w:r>
          </w:p>
        </w:tc>
        <w:tc>
          <w:tcPr>
            <w:tcW w:w="0" w:type="auto"/>
            <w:vAlign w:val="top"/>
          </w:tcPr>
          <w:p w14:paraId="4716A1D1" w14:textId="7656B26D"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1295</w:t>
            </w:r>
          </w:p>
        </w:tc>
        <w:tc>
          <w:tcPr>
            <w:tcW w:w="0" w:type="auto"/>
            <w:vAlign w:val="top"/>
          </w:tcPr>
          <w:p w14:paraId="179FD78C" w14:textId="09882A12"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76%</w:t>
            </w:r>
          </w:p>
        </w:tc>
      </w:tr>
      <w:tr w:rsidR="00D42547" w:rsidRPr="00D42547" w14:paraId="702A4091" w14:textId="5BB27A1F"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0CDB3747" w14:textId="22ADE201"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I_13</w:t>
            </w:r>
          </w:p>
        </w:tc>
        <w:tc>
          <w:tcPr>
            <w:tcW w:w="1686" w:type="dxa"/>
            <w:vAlign w:val="top"/>
          </w:tcPr>
          <w:p w14:paraId="50E452DE" w14:textId="1164C6D8"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Atlas</w:t>
            </w:r>
          </w:p>
        </w:tc>
        <w:tc>
          <w:tcPr>
            <w:tcW w:w="0" w:type="auto"/>
            <w:vAlign w:val="top"/>
          </w:tcPr>
          <w:p w14:paraId="624BF1B4" w14:textId="61426D7D"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32</w:t>
            </w:r>
          </w:p>
        </w:tc>
        <w:tc>
          <w:tcPr>
            <w:tcW w:w="0" w:type="auto"/>
            <w:vAlign w:val="top"/>
          </w:tcPr>
          <w:p w14:paraId="1684652E" w14:textId="4C6F4181"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1184</w:t>
            </w:r>
          </w:p>
        </w:tc>
        <w:tc>
          <w:tcPr>
            <w:tcW w:w="0" w:type="auto"/>
            <w:vAlign w:val="top"/>
          </w:tcPr>
          <w:p w14:paraId="178D791E" w14:textId="795A209E"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1104</w:t>
            </w:r>
          </w:p>
        </w:tc>
        <w:tc>
          <w:tcPr>
            <w:tcW w:w="0" w:type="auto"/>
            <w:vAlign w:val="top"/>
          </w:tcPr>
          <w:p w14:paraId="327E0C11" w14:textId="11A2473C"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93%</w:t>
            </w:r>
          </w:p>
        </w:tc>
        <w:tc>
          <w:tcPr>
            <w:tcW w:w="0" w:type="auto"/>
            <w:vAlign w:val="top"/>
          </w:tcPr>
          <w:p w14:paraId="1FC75C1C" w14:textId="195F09E2"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1041</w:t>
            </w:r>
          </w:p>
        </w:tc>
        <w:tc>
          <w:tcPr>
            <w:tcW w:w="0" w:type="auto"/>
            <w:vAlign w:val="top"/>
          </w:tcPr>
          <w:p w14:paraId="6486C7CB" w14:textId="7707F143"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762</w:t>
            </w:r>
          </w:p>
        </w:tc>
        <w:tc>
          <w:tcPr>
            <w:tcW w:w="0" w:type="auto"/>
            <w:vAlign w:val="top"/>
          </w:tcPr>
          <w:p w14:paraId="6903DA64" w14:textId="47C29848"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73%</w:t>
            </w:r>
          </w:p>
        </w:tc>
      </w:tr>
      <w:tr w:rsidR="00D42547" w:rsidRPr="00D42547" w14:paraId="2E3D3868" w14:textId="08017A41"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1FFBF6FC" w14:textId="03C41257"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I_14</w:t>
            </w:r>
          </w:p>
        </w:tc>
        <w:tc>
          <w:tcPr>
            <w:tcW w:w="1686" w:type="dxa"/>
            <w:vAlign w:val="top"/>
          </w:tcPr>
          <w:p w14:paraId="203EE236" w14:textId="6BA5B9B0"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Annex</w:t>
            </w:r>
            <w:r w:rsidR="001C1832">
              <w:rPr>
                <w:sz w:val="18"/>
                <w:szCs w:val="18"/>
              </w:rPr>
              <w:t xml:space="preserve"> </w:t>
            </w:r>
            <w:r w:rsidRPr="00D42547">
              <w:rPr>
                <w:sz w:val="18"/>
                <w:szCs w:val="18"/>
              </w:rPr>
              <w:t>I_Observational Products</w:t>
            </w:r>
          </w:p>
        </w:tc>
        <w:tc>
          <w:tcPr>
            <w:tcW w:w="0" w:type="auto"/>
            <w:vAlign w:val="top"/>
          </w:tcPr>
          <w:p w14:paraId="27790218" w14:textId="6330DDAF"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9</w:t>
            </w:r>
          </w:p>
        </w:tc>
        <w:tc>
          <w:tcPr>
            <w:tcW w:w="0" w:type="auto"/>
            <w:vAlign w:val="top"/>
          </w:tcPr>
          <w:p w14:paraId="68520957" w14:textId="64B56B06"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333</w:t>
            </w:r>
          </w:p>
        </w:tc>
        <w:tc>
          <w:tcPr>
            <w:tcW w:w="0" w:type="auto"/>
            <w:vAlign w:val="top"/>
          </w:tcPr>
          <w:p w14:paraId="7E3F7E18" w14:textId="398BFB01"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ND</w:t>
            </w:r>
          </w:p>
        </w:tc>
        <w:tc>
          <w:tcPr>
            <w:tcW w:w="0" w:type="auto"/>
            <w:vAlign w:val="top"/>
          </w:tcPr>
          <w:p w14:paraId="49A1F855" w14:textId="5124F701"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NC</w:t>
            </w:r>
          </w:p>
        </w:tc>
        <w:tc>
          <w:tcPr>
            <w:tcW w:w="0" w:type="auto"/>
            <w:vAlign w:val="top"/>
          </w:tcPr>
          <w:p w14:paraId="35A3A11E" w14:textId="7183B7A1" w:rsidR="00D42547" w:rsidRPr="00D42547" w:rsidRDefault="0002702E"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ND</w:t>
            </w:r>
          </w:p>
        </w:tc>
        <w:tc>
          <w:tcPr>
            <w:tcW w:w="0" w:type="auto"/>
            <w:vAlign w:val="top"/>
          </w:tcPr>
          <w:p w14:paraId="0497217C" w14:textId="06BF8650"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0</w:t>
            </w:r>
          </w:p>
        </w:tc>
        <w:tc>
          <w:tcPr>
            <w:tcW w:w="0" w:type="auto"/>
            <w:vAlign w:val="top"/>
          </w:tcPr>
          <w:p w14:paraId="3BBBCCAE" w14:textId="465C329B" w:rsidR="00D42547" w:rsidRPr="00D42547" w:rsidRDefault="00BA5A3D"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NC</w:t>
            </w:r>
          </w:p>
        </w:tc>
      </w:tr>
      <w:tr w:rsidR="00D42547" w:rsidRPr="00D42547" w14:paraId="1ECF7D58" w14:textId="375F1D01"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7DA9B389" w14:textId="14003C25"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I_15</w:t>
            </w:r>
          </w:p>
        </w:tc>
        <w:tc>
          <w:tcPr>
            <w:tcW w:w="1686" w:type="dxa"/>
            <w:vAlign w:val="top"/>
          </w:tcPr>
          <w:p w14:paraId="72599317" w14:textId="5620DBDD"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Annex</w:t>
            </w:r>
            <w:r w:rsidR="001C1832">
              <w:rPr>
                <w:sz w:val="18"/>
                <w:szCs w:val="18"/>
              </w:rPr>
              <w:t xml:space="preserve"> </w:t>
            </w:r>
            <w:proofErr w:type="spellStart"/>
            <w:r w:rsidRPr="00D42547">
              <w:rPr>
                <w:sz w:val="18"/>
                <w:szCs w:val="18"/>
              </w:rPr>
              <w:t>II_Models</w:t>
            </w:r>
            <w:proofErr w:type="spellEnd"/>
          </w:p>
        </w:tc>
        <w:tc>
          <w:tcPr>
            <w:tcW w:w="0" w:type="auto"/>
            <w:vAlign w:val="top"/>
          </w:tcPr>
          <w:p w14:paraId="716CD12A" w14:textId="1ED7A6F7"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17</w:t>
            </w:r>
          </w:p>
        </w:tc>
        <w:tc>
          <w:tcPr>
            <w:tcW w:w="0" w:type="auto"/>
            <w:vAlign w:val="top"/>
          </w:tcPr>
          <w:p w14:paraId="76A1232D" w14:textId="522D06C7"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629</w:t>
            </w:r>
          </w:p>
        </w:tc>
        <w:tc>
          <w:tcPr>
            <w:tcW w:w="0" w:type="auto"/>
            <w:vAlign w:val="top"/>
          </w:tcPr>
          <w:p w14:paraId="28BD03FB" w14:textId="106E2365"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ND</w:t>
            </w:r>
          </w:p>
        </w:tc>
        <w:tc>
          <w:tcPr>
            <w:tcW w:w="0" w:type="auto"/>
            <w:vAlign w:val="top"/>
          </w:tcPr>
          <w:p w14:paraId="39B678A9" w14:textId="5E59923F"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NC</w:t>
            </w:r>
          </w:p>
        </w:tc>
        <w:tc>
          <w:tcPr>
            <w:tcW w:w="0" w:type="auto"/>
            <w:vAlign w:val="top"/>
          </w:tcPr>
          <w:p w14:paraId="405CD2A7" w14:textId="26EB91A6" w:rsidR="00D42547" w:rsidRPr="00D42547" w:rsidRDefault="0002702E"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ND</w:t>
            </w:r>
          </w:p>
        </w:tc>
        <w:tc>
          <w:tcPr>
            <w:tcW w:w="0" w:type="auto"/>
            <w:vAlign w:val="top"/>
          </w:tcPr>
          <w:p w14:paraId="7582F62F" w14:textId="7C905EFC" w:rsidR="00D42547" w:rsidRPr="00D42547" w:rsidRDefault="00D42547"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0</w:t>
            </w:r>
          </w:p>
        </w:tc>
        <w:tc>
          <w:tcPr>
            <w:tcW w:w="0" w:type="auto"/>
            <w:vAlign w:val="top"/>
          </w:tcPr>
          <w:p w14:paraId="56E884B5" w14:textId="35EA4DD0" w:rsidR="00D42547" w:rsidRPr="00D42547" w:rsidRDefault="00BA5A3D" w:rsidP="00D42547">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NC</w:t>
            </w:r>
          </w:p>
        </w:tc>
      </w:tr>
      <w:tr w:rsidR="00D42547" w:rsidRPr="00D42547" w14:paraId="60C43A0C" w14:textId="73E1BD72"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19086686" w14:textId="6810152E" w:rsidR="00D42547" w:rsidRPr="00D42547" w:rsidRDefault="00D42547" w:rsidP="00D42547">
            <w:pPr>
              <w:spacing w:before="0" w:after="0"/>
              <w:ind w:firstLine="0"/>
              <w:rPr>
                <w:color w:val="000000"/>
                <w:sz w:val="18"/>
                <w:szCs w:val="18"/>
              </w:rPr>
            </w:pPr>
            <w:r w:rsidRPr="00D42547">
              <w:rPr>
                <w:rFonts w:ascii="Calibri" w:hAnsi="Calibri" w:cs="Calibri"/>
                <w:color w:val="000000"/>
                <w:sz w:val="18"/>
                <w:szCs w:val="18"/>
              </w:rPr>
              <w:t>I_16</w:t>
            </w:r>
          </w:p>
        </w:tc>
        <w:tc>
          <w:tcPr>
            <w:tcW w:w="1686" w:type="dxa"/>
            <w:vAlign w:val="top"/>
          </w:tcPr>
          <w:p w14:paraId="7251D614" w14:textId="2430DE14"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Annex</w:t>
            </w:r>
            <w:r w:rsidR="001C1832">
              <w:rPr>
                <w:sz w:val="18"/>
                <w:szCs w:val="18"/>
                <w:lang w:val="en-US"/>
              </w:rPr>
              <w:t xml:space="preserve"> </w:t>
            </w:r>
            <w:r w:rsidRPr="00D42547">
              <w:rPr>
                <w:sz w:val="18"/>
                <w:szCs w:val="18"/>
                <w:lang w:val="en-US"/>
              </w:rPr>
              <w:t>III_Tables of Historical and Projected Well-mixed Greenhouse Gas Mixing Ratios</w:t>
            </w:r>
            <w:r w:rsidR="005321A3">
              <w:rPr>
                <w:sz w:val="18"/>
                <w:szCs w:val="18"/>
                <w:lang w:val="en-US"/>
              </w:rPr>
              <w:t xml:space="preserve"> </w:t>
            </w:r>
            <w:r w:rsidR="005321A3" w:rsidRPr="005321A3">
              <w:rPr>
                <w:sz w:val="18"/>
                <w:szCs w:val="18"/>
                <w:lang w:val="en-US"/>
              </w:rPr>
              <w:t>and Effective</w:t>
            </w:r>
            <w:r w:rsidR="005321A3">
              <w:rPr>
                <w:sz w:val="18"/>
                <w:szCs w:val="18"/>
                <w:lang w:val="en-US"/>
              </w:rPr>
              <w:t xml:space="preserve"> </w:t>
            </w:r>
            <w:r w:rsidR="005321A3" w:rsidRPr="005321A3">
              <w:rPr>
                <w:sz w:val="18"/>
                <w:szCs w:val="18"/>
                <w:lang w:val="en-US"/>
              </w:rPr>
              <w:t>Radiative Forcing of All Climate Forcers</w:t>
            </w:r>
          </w:p>
        </w:tc>
        <w:tc>
          <w:tcPr>
            <w:tcW w:w="0" w:type="auto"/>
            <w:vAlign w:val="top"/>
          </w:tcPr>
          <w:p w14:paraId="488EAE55" w14:textId="2469F136"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2</w:t>
            </w:r>
          </w:p>
        </w:tc>
        <w:tc>
          <w:tcPr>
            <w:tcW w:w="0" w:type="auto"/>
            <w:vAlign w:val="top"/>
          </w:tcPr>
          <w:p w14:paraId="24C2D077" w14:textId="0F577432"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74</w:t>
            </w:r>
          </w:p>
        </w:tc>
        <w:tc>
          <w:tcPr>
            <w:tcW w:w="0" w:type="auto"/>
            <w:vAlign w:val="top"/>
          </w:tcPr>
          <w:p w14:paraId="00123C7C" w14:textId="7A5F3359"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ND</w:t>
            </w:r>
          </w:p>
        </w:tc>
        <w:tc>
          <w:tcPr>
            <w:tcW w:w="0" w:type="auto"/>
            <w:vAlign w:val="top"/>
          </w:tcPr>
          <w:p w14:paraId="228A231F" w14:textId="6F8C3B96"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NC</w:t>
            </w:r>
          </w:p>
        </w:tc>
        <w:tc>
          <w:tcPr>
            <w:tcW w:w="0" w:type="auto"/>
            <w:vAlign w:val="top"/>
          </w:tcPr>
          <w:p w14:paraId="3261B04A" w14:textId="5F8C9D1E" w:rsidR="00D42547" w:rsidRPr="00D42547" w:rsidRDefault="0002702E"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ND</w:t>
            </w:r>
          </w:p>
        </w:tc>
        <w:tc>
          <w:tcPr>
            <w:tcW w:w="0" w:type="auto"/>
            <w:vAlign w:val="top"/>
          </w:tcPr>
          <w:p w14:paraId="20E7E7C0" w14:textId="4998E507" w:rsidR="00D42547" w:rsidRPr="00D42547" w:rsidRDefault="00D42547"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0</w:t>
            </w:r>
          </w:p>
        </w:tc>
        <w:tc>
          <w:tcPr>
            <w:tcW w:w="0" w:type="auto"/>
            <w:vAlign w:val="top"/>
          </w:tcPr>
          <w:p w14:paraId="362DC403" w14:textId="49EF4433" w:rsidR="00D42547" w:rsidRPr="00D42547" w:rsidRDefault="00BA5A3D" w:rsidP="00D42547">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NC</w:t>
            </w:r>
          </w:p>
        </w:tc>
      </w:tr>
      <w:tr w:rsidR="005321A3" w:rsidRPr="00D42547" w14:paraId="0ED40DF1" w14:textId="01F45D2E"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62F3CFE0" w14:textId="4C097953"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I_17</w:t>
            </w:r>
          </w:p>
        </w:tc>
        <w:tc>
          <w:tcPr>
            <w:tcW w:w="1686" w:type="dxa"/>
            <w:vAlign w:val="top"/>
          </w:tcPr>
          <w:p w14:paraId="3E7AA555" w14:textId="5A27CCB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F549E">
              <w:rPr>
                <w:sz w:val="18"/>
                <w:szCs w:val="18"/>
                <w:lang w:val="en-US"/>
              </w:rPr>
              <w:t>Annex</w:t>
            </w:r>
            <w:r w:rsidR="001C1832" w:rsidRPr="00DF549E">
              <w:rPr>
                <w:sz w:val="18"/>
                <w:szCs w:val="18"/>
                <w:lang w:val="en-US"/>
              </w:rPr>
              <w:t xml:space="preserve"> </w:t>
            </w:r>
            <w:proofErr w:type="spellStart"/>
            <w:r w:rsidRPr="00DF549E">
              <w:rPr>
                <w:sz w:val="18"/>
                <w:szCs w:val="18"/>
                <w:lang w:val="en-US"/>
              </w:rPr>
              <w:t>IV_Modes</w:t>
            </w:r>
            <w:proofErr w:type="spellEnd"/>
            <w:r w:rsidRPr="00DF549E">
              <w:rPr>
                <w:sz w:val="18"/>
                <w:szCs w:val="18"/>
                <w:lang w:val="en-US"/>
              </w:rPr>
              <w:t xml:space="preserve"> of Variability</w:t>
            </w:r>
          </w:p>
        </w:tc>
        <w:tc>
          <w:tcPr>
            <w:tcW w:w="0" w:type="auto"/>
            <w:vAlign w:val="top"/>
          </w:tcPr>
          <w:p w14:paraId="0225895F" w14:textId="291151E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13</w:t>
            </w:r>
          </w:p>
        </w:tc>
        <w:tc>
          <w:tcPr>
            <w:tcW w:w="0" w:type="auto"/>
            <w:vAlign w:val="top"/>
          </w:tcPr>
          <w:p w14:paraId="7513ACAB" w14:textId="187F8CB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481</w:t>
            </w:r>
          </w:p>
        </w:tc>
        <w:tc>
          <w:tcPr>
            <w:tcW w:w="0" w:type="auto"/>
            <w:vAlign w:val="top"/>
          </w:tcPr>
          <w:p w14:paraId="6E0B1CBE" w14:textId="102415A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ND</w:t>
            </w:r>
          </w:p>
        </w:tc>
        <w:tc>
          <w:tcPr>
            <w:tcW w:w="0" w:type="auto"/>
            <w:vAlign w:val="top"/>
          </w:tcPr>
          <w:p w14:paraId="1566BA68" w14:textId="143DD63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NC</w:t>
            </w:r>
          </w:p>
        </w:tc>
        <w:tc>
          <w:tcPr>
            <w:tcW w:w="0" w:type="auto"/>
            <w:vAlign w:val="top"/>
          </w:tcPr>
          <w:p w14:paraId="72705E4A" w14:textId="7E2846C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ND</w:t>
            </w:r>
          </w:p>
        </w:tc>
        <w:tc>
          <w:tcPr>
            <w:tcW w:w="0" w:type="auto"/>
            <w:vAlign w:val="top"/>
          </w:tcPr>
          <w:p w14:paraId="28016318" w14:textId="0997249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0</w:t>
            </w:r>
          </w:p>
        </w:tc>
        <w:tc>
          <w:tcPr>
            <w:tcW w:w="0" w:type="auto"/>
            <w:vAlign w:val="top"/>
          </w:tcPr>
          <w:p w14:paraId="16A7628A" w14:textId="426FE7E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NC</w:t>
            </w:r>
          </w:p>
        </w:tc>
      </w:tr>
      <w:tr w:rsidR="005321A3" w:rsidRPr="00D42547" w14:paraId="56213A17" w14:textId="24BFBD7D"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78279DA8" w14:textId="22804969"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I_18</w:t>
            </w:r>
          </w:p>
        </w:tc>
        <w:tc>
          <w:tcPr>
            <w:tcW w:w="1686" w:type="dxa"/>
            <w:vAlign w:val="top"/>
          </w:tcPr>
          <w:p w14:paraId="22D81E55" w14:textId="5F38089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Annex</w:t>
            </w:r>
            <w:r w:rsidR="001C1832">
              <w:rPr>
                <w:sz w:val="18"/>
                <w:szCs w:val="18"/>
              </w:rPr>
              <w:t xml:space="preserve"> </w:t>
            </w:r>
            <w:r w:rsidRPr="00D42547">
              <w:rPr>
                <w:sz w:val="18"/>
                <w:szCs w:val="18"/>
              </w:rPr>
              <w:t>V_Monsoons</w:t>
            </w:r>
          </w:p>
        </w:tc>
        <w:tc>
          <w:tcPr>
            <w:tcW w:w="0" w:type="auto"/>
            <w:vAlign w:val="top"/>
          </w:tcPr>
          <w:p w14:paraId="581076B9" w14:textId="7046301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5</w:t>
            </w:r>
          </w:p>
        </w:tc>
        <w:tc>
          <w:tcPr>
            <w:tcW w:w="0" w:type="auto"/>
            <w:vAlign w:val="top"/>
          </w:tcPr>
          <w:p w14:paraId="0AA77ADE" w14:textId="4FB05DA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185</w:t>
            </w:r>
          </w:p>
        </w:tc>
        <w:tc>
          <w:tcPr>
            <w:tcW w:w="0" w:type="auto"/>
            <w:vAlign w:val="top"/>
          </w:tcPr>
          <w:p w14:paraId="673DAC57" w14:textId="629EC5F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ND</w:t>
            </w:r>
          </w:p>
        </w:tc>
        <w:tc>
          <w:tcPr>
            <w:tcW w:w="0" w:type="auto"/>
            <w:vAlign w:val="top"/>
          </w:tcPr>
          <w:p w14:paraId="3C19CFD6" w14:textId="46C7F58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NC</w:t>
            </w:r>
          </w:p>
        </w:tc>
        <w:tc>
          <w:tcPr>
            <w:tcW w:w="0" w:type="auto"/>
            <w:vAlign w:val="top"/>
          </w:tcPr>
          <w:p w14:paraId="38355EC9" w14:textId="015A583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ND</w:t>
            </w:r>
          </w:p>
        </w:tc>
        <w:tc>
          <w:tcPr>
            <w:tcW w:w="0" w:type="auto"/>
            <w:vAlign w:val="top"/>
          </w:tcPr>
          <w:p w14:paraId="3E25C0EC" w14:textId="0662C58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0</w:t>
            </w:r>
          </w:p>
        </w:tc>
        <w:tc>
          <w:tcPr>
            <w:tcW w:w="0" w:type="auto"/>
            <w:vAlign w:val="top"/>
          </w:tcPr>
          <w:p w14:paraId="6AD517F5" w14:textId="58A94CFD"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NC</w:t>
            </w:r>
          </w:p>
        </w:tc>
      </w:tr>
      <w:tr w:rsidR="005321A3" w:rsidRPr="00D42547" w14:paraId="08E126A8" w14:textId="3E683B1C"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53BE5AF9" w14:textId="2E8CF5F8"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I_19</w:t>
            </w:r>
          </w:p>
        </w:tc>
        <w:tc>
          <w:tcPr>
            <w:tcW w:w="1686" w:type="dxa"/>
            <w:vAlign w:val="top"/>
          </w:tcPr>
          <w:p w14:paraId="48B4DB66" w14:textId="4741885F" w:rsidR="005321A3" w:rsidRPr="005321A3"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Annex</w:t>
            </w:r>
            <w:r w:rsidR="001C1832">
              <w:rPr>
                <w:sz w:val="18"/>
                <w:szCs w:val="18"/>
                <w:lang w:val="en-US"/>
              </w:rPr>
              <w:t xml:space="preserve"> </w:t>
            </w:r>
            <w:r w:rsidRPr="00D42547">
              <w:rPr>
                <w:sz w:val="18"/>
                <w:szCs w:val="18"/>
                <w:lang w:val="en-US"/>
              </w:rPr>
              <w:t>VI_Climatic Impact-driver and Extreme Indices</w:t>
            </w:r>
          </w:p>
        </w:tc>
        <w:tc>
          <w:tcPr>
            <w:tcW w:w="0" w:type="auto"/>
            <w:vAlign w:val="top"/>
          </w:tcPr>
          <w:p w14:paraId="5D51A2D5" w14:textId="3C06254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2</w:t>
            </w:r>
          </w:p>
        </w:tc>
        <w:tc>
          <w:tcPr>
            <w:tcW w:w="0" w:type="auto"/>
            <w:vAlign w:val="top"/>
          </w:tcPr>
          <w:p w14:paraId="1FE0A9DC" w14:textId="52D15C4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74</w:t>
            </w:r>
          </w:p>
        </w:tc>
        <w:tc>
          <w:tcPr>
            <w:tcW w:w="0" w:type="auto"/>
            <w:vAlign w:val="top"/>
          </w:tcPr>
          <w:p w14:paraId="0EC9D8B4" w14:textId="04C9D94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ND</w:t>
            </w:r>
          </w:p>
        </w:tc>
        <w:tc>
          <w:tcPr>
            <w:tcW w:w="0" w:type="auto"/>
            <w:vAlign w:val="top"/>
          </w:tcPr>
          <w:p w14:paraId="702F055B" w14:textId="79C38B8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NC</w:t>
            </w:r>
          </w:p>
        </w:tc>
        <w:tc>
          <w:tcPr>
            <w:tcW w:w="0" w:type="auto"/>
            <w:vAlign w:val="top"/>
          </w:tcPr>
          <w:p w14:paraId="483FC35B" w14:textId="7D981E1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ND</w:t>
            </w:r>
          </w:p>
        </w:tc>
        <w:tc>
          <w:tcPr>
            <w:tcW w:w="0" w:type="auto"/>
            <w:vAlign w:val="top"/>
          </w:tcPr>
          <w:p w14:paraId="3B222236" w14:textId="16400F9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0</w:t>
            </w:r>
          </w:p>
        </w:tc>
        <w:tc>
          <w:tcPr>
            <w:tcW w:w="0" w:type="auto"/>
            <w:vAlign w:val="top"/>
          </w:tcPr>
          <w:p w14:paraId="3FB06548" w14:textId="49DE033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NC</w:t>
            </w:r>
          </w:p>
        </w:tc>
      </w:tr>
      <w:tr w:rsidR="005321A3" w:rsidRPr="00D42547" w14:paraId="67BAAAA5" w14:textId="3FC01FEF"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4094A451" w14:textId="70C5071A"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I_20</w:t>
            </w:r>
          </w:p>
        </w:tc>
        <w:tc>
          <w:tcPr>
            <w:tcW w:w="1686" w:type="dxa"/>
            <w:vAlign w:val="top"/>
          </w:tcPr>
          <w:p w14:paraId="2170947D" w14:textId="547220E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Annex</w:t>
            </w:r>
            <w:r w:rsidR="001C1832">
              <w:rPr>
                <w:sz w:val="18"/>
                <w:szCs w:val="18"/>
              </w:rPr>
              <w:t xml:space="preserve"> </w:t>
            </w:r>
            <w:r w:rsidRPr="00D42547">
              <w:rPr>
                <w:sz w:val="18"/>
                <w:szCs w:val="18"/>
              </w:rPr>
              <w:t>VII_Glossary</w:t>
            </w:r>
          </w:p>
        </w:tc>
        <w:tc>
          <w:tcPr>
            <w:tcW w:w="0" w:type="auto"/>
            <w:vAlign w:val="top"/>
          </w:tcPr>
          <w:p w14:paraId="76FD49D0" w14:textId="44CCF15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2</w:t>
            </w:r>
          </w:p>
        </w:tc>
        <w:tc>
          <w:tcPr>
            <w:tcW w:w="0" w:type="auto"/>
            <w:vAlign w:val="top"/>
          </w:tcPr>
          <w:p w14:paraId="6E05988F" w14:textId="0552AA1D"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74</w:t>
            </w:r>
          </w:p>
        </w:tc>
        <w:tc>
          <w:tcPr>
            <w:tcW w:w="0" w:type="auto"/>
            <w:vAlign w:val="top"/>
          </w:tcPr>
          <w:p w14:paraId="2A75D668" w14:textId="6FEF8E7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NC</w:t>
            </w:r>
          </w:p>
        </w:tc>
        <w:tc>
          <w:tcPr>
            <w:tcW w:w="0" w:type="auto"/>
            <w:vAlign w:val="top"/>
          </w:tcPr>
          <w:p w14:paraId="50545996" w14:textId="4CD2589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NC</w:t>
            </w:r>
          </w:p>
        </w:tc>
        <w:tc>
          <w:tcPr>
            <w:tcW w:w="0" w:type="auto"/>
            <w:vAlign w:val="top"/>
          </w:tcPr>
          <w:p w14:paraId="5E43C895" w14:textId="3D5A2C5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ND</w:t>
            </w:r>
          </w:p>
        </w:tc>
        <w:tc>
          <w:tcPr>
            <w:tcW w:w="0" w:type="auto"/>
            <w:vAlign w:val="top"/>
          </w:tcPr>
          <w:p w14:paraId="3FC14215" w14:textId="32A2643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0</w:t>
            </w:r>
          </w:p>
        </w:tc>
        <w:tc>
          <w:tcPr>
            <w:tcW w:w="0" w:type="auto"/>
            <w:vAlign w:val="top"/>
          </w:tcPr>
          <w:p w14:paraId="4895D802" w14:textId="2E03541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NC</w:t>
            </w:r>
          </w:p>
        </w:tc>
      </w:tr>
      <w:tr w:rsidR="005321A3" w:rsidRPr="00D42547" w14:paraId="27D3C4A6" w14:textId="04BF2553"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7F317027" w14:textId="51AE72BF"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w:t>
            </w:r>
          </w:p>
        </w:tc>
        <w:tc>
          <w:tcPr>
            <w:tcW w:w="1686" w:type="dxa"/>
            <w:vAlign w:val="top"/>
          </w:tcPr>
          <w:p w14:paraId="26A87DCF" w14:textId="63D82692" w:rsidR="005321A3" w:rsidRPr="005321A3"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Point of Departure and Key Concepts</w:t>
            </w:r>
          </w:p>
        </w:tc>
        <w:tc>
          <w:tcPr>
            <w:tcW w:w="0" w:type="auto"/>
            <w:vAlign w:val="top"/>
          </w:tcPr>
          <w:p w14:paraId="28EF2892" w14:textId="4F54CD6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16</w:t>
            </w:r>
          </w:p>
        </w:tc>
        <w:tc>
          <w:tcPr>
            <w:tcW w:w="0" w:type="auto"/>
            <w:vAlign w:val="top"/>
          </w:tcPr>
          <w:p w14:paraId="79F42F9E" w14:textId="03591BC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592</w:t>
            </w:r>
          </w:p>
        </w:tc>
        <w:tc>
          <w:tcPr>
            <w:tcW w:w="0" w:type="auto"/>
            <w:vAlign w:val="top"/>
          </w:tcPr>
          <w:p w14:paraId="474006AC" w14:textId="3380A1E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659</w:t>
            </w:r>
          </w:p>
        </w:tc>
        <w:tc>
          <w:tcPr>
            <w:tcW w:w="0" w:type="auto"/>
            <w:vAlign w:val="top"/>
          </w:tcPr>
          <w:p w14:paraId="56A4067B" w14:textId="68D0A1C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111%</w:t>
            </w:r>
          </w:p>
        </w:tc>
        <w:tc>
          <w:tcPr>
            <w:tcW w:w="0" w:type="auto"/>
            <w:vAlign w:val="top"/>
          </w:tcPr>
          <w:p w14:paraId="07C95F17" w14:textId="5B3B9C6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422</w:t>
            </w:r>
          </w:p>
        </w:tc>
        <w:tc>
          <w:tcPr>
            <w:tcW w:w="0" w:type="auto"/>
            <w:vAlign w:val="top"/>
          </w:tcPr>
          <w:p w14:paraId="4EAEF573" w14:textId="1AEAE4A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0</w:t>
            </w:r>
          </w:p>
        </w:tc>
        <w:tc>
          <w:tcPr>
            <w:tcW w:w="0" w:type="auto"/>
            <w:vAlign w:val="top"/>
          </w:tcPr>
          <w:p w14:paraId="34079AD9" w14:textId="36694D6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0%</w:t>
            </w:r>
          </w:p>
        </w:tc>
      </w:tr>
      <w:tr w:rsidR="005321A3" w:rsidRPr="00D42547" w14:paraId="1027C831" w14:textId="64E1EB93"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022BDEB6" w14:textId="2C74DE6F"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lastRenderedPageBreak/>
              <w:t>II_2</w:t>
            </w:r>
          </w:p>
        </w:tc>
        <w:tc>
          <w:tcPr>
            <w:tcW w:w="1686" w:type="dxa"/>
            <w:vAlign w:val="top"/>
          </w:tcPr>
          <w:p w14:paraId="680BADC1" w14:textId="764CAA3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Terrestrial and Freshwater Ecosystems and Their Services</w:t>
            </w:r>
          </w:p>
        </w:tc>
        <w:tc>
          <w:tcPr>
            <w:tcW w:w="0" w:type="auto"/>
            <w:vAlign w:val="top"/>
          </w:tcPr>
          <w:p w14:paraId="2315A374" w14:textId="0C8C351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59</w:t>
            </w:r>
          </w:p>
        </w:tc>
        <w:tc>
          <w:tcPr>
            <w:tcW w:w="0" w:type="auto"/>
            <w:vAlign w:val="top"/>
          </w:tcPr>
          <w:p w14:paraId="102C578F" w14:textId="79DE180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2183</w:t>
            </w:r>
          </w:p>
        </w:tc>
        <w:tc>
          <w:tcPr>
            <w:tcW w:w="0" w:type="auto"/>
            <w:vAlign w:val="top"/>
          </w:tcPr>
          <w:p w14:paraId="05C3FEA7" w14:textId="26DAD48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4055</w:t>
            </w:r>
          </w:p>
        </w:tc>
        <w:tc>
          <w:tcPr>
            <w:tcW w:w="0" w:type="auto"/>
            <w:vAlign w:val="top"/>
          </w:tcPr>
          <w:p w14:paraId="381FA1C9" w14:textId="3418810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186%</w:t>
            </w:r>
          </w:p>
        </w:tc>
        <w:tc>
          <w:tcPr>
            <w:tcW w:w="0" w:type="auto"/>
            <w:vAlign w:val="top"/>
          </w:tcPr>
          <w:p w14:paraId="66DB27AB" w14:textId="0C80460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2745</w:t>
            </w:r>
          </w:p>
        </w:tc>
        <w:tc>
          <w:tcPr>
            <w:tcW w:w="0" w:type="auto"/>
            <w:vAlign w:val="top"/>
          </w:tcPr>
          <w:p w14:paraId="55325BE9" w14:textId="4052924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1206</w:t>
            </w:r>
          </w:p>
        </w:tc>
        <w:tc>
          <w:tcPr>
            <w:tcW w:w="0" w:type="auto"/>
            <w:vAlign w:val="top"/>
          </w:tcPr>
          <w:p w14:paraId="4A1740C4" w14:textId="00CB02C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44%</w:t>
            </w:r>
          </w:p>
        </w:tc>
      </w:tr>
      <w:tr w:rsidR="005321A3" w:rsidRPr="00D42547" w14:paraId="26527A3A" w14:textId="65021E3A"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6137BEF7" w14:textId="1A860206"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II_3</w:t>
            </w:r>
          </w:p>
        </w:tc>
        <w:tc>
          <w:tcPr>
            <w:tcW w:w="1686" w:type="dxa"/>
            <w:vAlign w:val="top"/>
          </w:tcPr>
          <w:p w14:paraId="32A5E84B" w14:textId="762B17D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Oceans and Coastal Ecosystems and Their Services</w:t>
            </w:r>
          </w:p>
        </w:tc>
        <w:tc>
          <w:tcPr>
            <w:tcW w:w="0" w:type="auto"/>
            <w:vAlign w:val="top"/>
          </w:tcPr>
          <w:p w14:paraId="21CD4191" w14:textId="584CF93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57</w:t>
            </w:r>
          </w:p>
        </w:tc>
        <w:tc>
          <w:tcPr>
            <w:tcW w:w="0" w:type="auto"/>
            <w:vAlign w:val="top"/>
          </w:tcPr>
          <w:p w14:paraId="5A59139E" w14:textId="1C00CA9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2109</w:t>
            </w:r>
          </w:p>
        </w:tc>
        <w:tc>
          <w:tcPr>
            <w:tcW w:w="0" w:type="auto"/>
            <w:vAlign w:val="top"/>
          </w:tcPr>
          <w:p w14:paraId="09FC1F7F" w14:textId="2B1AF40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2920</w:t>
            </w:r>
          </w:p>
        </w:tc>
        <w:tc>
          <w:tcPr>
            <w:tcW w:w="0" w:type="auto"/>
            <w:vAlign w:val="top"/>
          </w:tcPr>
          <w:p w14:paraId="140DCA14" w14:textId="440FE45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138%</w:t>
            </w:r>
          </w:p>
        </w:tc>
        <w:tc>
          <w:tcPr>
            <w:tcW w:w="0" w:type="auto"/>
            <w:vAlign w:val="top"/>
          </w:tcPr>
          <w:p w14:paraId="5CEC758B" w14:textId="1F4323C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2725</w:t>
            </w:r>
          </w:p>
        </w:tc>
        <w:tc>
          <w:tcPr>
            <w:tcW w:w="0" w:type="auto"/>
            <w:vAlign w:val="top"/>
          </w:tcPr>
          <w:p w14:paraId="6841D086" w14:textId="3AC20C0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1780</w:t>
            </w:r>
          </w:p>
        </w:tc>
        <w:tc>
          <w:tcPr>
            <w:tcW w:w="0" w:type="auto"/>
            <w:vAlign w:val="top"/>
          </w:tcPr>
          <w:p w14:paraId="1D4E96E7" w14:textId="0736FD3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65%</w:t>
            </w:r>
          </w:p>
        </w:tc>
      </w:tr>
      <w:tr w:rsidR="005321A3" w:rsidRPr="00D42547" w14:paraId="0B00A083" w14:textId="35194EF4"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4527D724" w14:textId="22084E6A"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II_4</w:t>
            </w:r>
          </w:p>
        </w:tc>
        <w:tc>
          <w:tcPr>
            <w:tcW w:w="1686" w:type="dxa"/>
            <w:vAlign w:val="top"/>
          </w:tcPr>
          <w:p w14:paraId="24755247" w14:textId="6E3F33F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Water</w:t>
            </w:r>
          </w:p>
        </w:tc>
        <w:tc>
          <w:tcPr>
            <w:tcW w:w="0" w:type="auto"/>
            <w:vAlign w:val="top"/>
          </w:tcPr>
          <w:p w14:paraId="43E22B3C" w14:textId="6569752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45</w:t>
            </w:r>
          </w:p>
        </w:tc>
        <w:tc>
          <w:tcPr>
            <w:tcW w:w="0" w:type="auto"/>
            <w:vAlign w:val="top"/>
          </w:tcPr>
          <w:p w14:paraId="56A17489" w14:textId="19C1032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1665</w:t>
            </w:r>
          </w:p>
        </w:tc>
        <w:tc>
          <w:tcPr>
            <w:tcW w:w="0" w:type="auto"/>
            <w:vAlign w:val="top"/>
          </w:tcPr>
          <w:p w14:paraId="4EC11F23" w14:textId="30B7C1D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3768</w:t>
            </w:r>
          </w:p>
        </w:tc>
        <w:tc>
          <w:tcPr>
            <w:tcW w:w="0" w:type="auto"/>
            <w:vAlign w:val="top"/>
          </w:tcPr>
          <w:p w14:paraId="64B5CFE1" w14:textId="1494F01D"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226%</w:t>
            </w:r>
          </w:p>
        </w:tc>
        <w:tc>
          <w:tcPr>
            <w:tcW w:w="0" w:type="auto"/>
            <w:vAlign w:val="top"/>
          </w:tcPr>
          <w:p w14:paraId="285120C3" w14:textId="5B3F6C0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2936</w:t>
            </w:r>
          </w:p>
        </w:tc>
        <w:tc>
          <w:tcPr>
            <w:tcW w:w="0" w:type="auto"/>
            <w:vAlign w:val="top"/>
          </w:tcPr>
          <w:p w14:paraId="1A7E5D20" w14:textId="415338E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757</w:t>
            </w:r>
          </w:p>
        </w:tc>
        <w:tc>
          <w:tcPr>
            <w:tcW w:w="0" w:type="auto"/>
            <w:vAlign w:val="top"/>
          </w:tcPr>
          <w:p w14:paraId="26F6C414" w14:textId="639BF34D"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26%</w:t>
            </w:r>
          </w:p>
        </w:tc>
      </w:tr>
      <w:tr w:rsidR="005321A3" w:rsidRPr="00D42547" w14:paraId="626609D6" w14:textId="670F1FBC"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321A74EB" w14:textId="33B4EEC2"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II_5</w:t>
            </w:r>
          </w:p>
        </w:tc>
        <w:tc>
          <w:tcPr>
            <w:tcW w:w="1686" w:type="dxa"/>
            <w:vAlign w:val="top"/>
          </w:tcPr>
          <w:p w14:paraId="3C041F1B" w14:textId="09B8FA2D" w:rsidR="005321A3" w:rsidRPr="005321A3"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Food, Fibre and Other Ecosystem Products</w:t>
            </w:r>
          </w:p>
        </w:tc>
        <w:tc>
          <w:tcPr>
            <w:tcW w:w="0" w:type="auto"/>
            <w:vAlign w:val="top"/>
          </w:tcPr>
          <w:p w14:paraId="052A3072" w14:textId="1CA2FE2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68</w:t>
            </w:r>
          </w:p>
        </w:tc>
        <w:tc>
          <w:tcPr>
            <w:tcW w:w="0" w:type="auto"/>
            <w:vAlign w:val="top"/>
          </w:tcPr>
          <w:p w14:paraId="3E912C87" w14:textId="33FC27B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2516</w:t>
            </w:r>
          </w:p>
        </w:tc>
        <w:tc>
          <w:tcPr>
            <w:tcW w:w="0" w:type="auto"/>
            <w:vAlign w:val="top"/>
          </w:tcPr>
          <w:p w14:paraId="73105836" w14:textId="30CC3E2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2584</w:t>
            </w:r>
          </w:p>
        </w:tc>
        <w:tc>
          <w:tcPr>
            <w:tcW w:w="0" w:type="auto"/>
            <w:vAlign w:val="top"/>
          </w:tcPr>
          <w:p w14:paraId="2CCCBFCE" w14:textId="267A6D0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103%</w:t>
            </w:r>
          </w:p>
        </w:tc>
        <w:tc>
          <w:tcPr>
            <w:tcW w:w="0" w:type="auto"/>
            <w:vAlign w:val="top"/>
          </w:tcPr>
          <w:p w14:paraId="7AAEAC2A" w14:textId="7BEA870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2212</w:t>
            </w:r>
          </w:p>
        </w:tc>
        <w:tc>
          <w:tcPr>
            <w:tcW w:w="0" w:type="auto"/>
            <w:vAlign w:val="top"/>
          </w:tcPr>
          <w:p w14:paraId="3C31BE19" w14:textId="30BB257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1812</w:t>
            </w:r>
          </w:p>
        </w:tc>
        <w:tc>
          <w:tcPr>
            <w:tcW w:w="0" w:type="auto"/>
            <w:vAlign w:val="top"/>
          </w:tcPr>
          <w:p w14:paraId="4A4151D4" w14:textId="70D1C6A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82%</w:t>
            </w:r>
          </w:p>
        </w:tc>
      </w:tr>
      <w:tr w:rsidR="005321A3" w:rsidRPr="00D42547" w14:paraId="1E9846CA" w14:textId="350458CE"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7F944BED" w14:textId="3F384F6F"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II_6</w:t>
            </w:r>
          </w:p>
        </w:tc>
        <w:tc>
          <w:tcPr>
            <w:tcW w:w="1686" w:type="dxa"/>
            <w:vAlign w:val="top"/>
          </w:tcPr>
          <w:p w14:paraId="7731C698" w14:textId="18623E6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Cities, Settlements and Key Infrastructure</w:t>
            </w:r>
          </w:p>
        </w:tc>
        <w:tc>
          <w:tcPr>
            <w:tcW w:w="0" w:type="auto"/>
            <w:vAlign w:val="top"/>
          </w:tcPr>
          <w:p w14:paraId="4B9CAD07" w14:textId="6B8C1DE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44</w:t>
            </w:r>
          </w:p>
        </w:tc>
        <w:tc>
          <w:tcPr>
            <w:tcW w:w="0" w:type="auto"/>
            <w:vAlign w:val="top"/>
          </w:tcPr>
          <w:p w14:paraId="54A6D077" w14:textId="7964D86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1628</w:t>
            </w:r>
          </w:p>
        </w:tc>
        <w:tc>
          <w:tcPr>
            <w:tcW w:w="0" w:type="auto"/>
            <w:vAlign w:val="top"/>
          </w:tcPr>
          <w:p w14:paraId="76BE60DE" w14:textId="41B4E10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1969</w:t>
            </w:r>
          </w:p>
        </w:tc>
        <w:tc>
          <w:tcPr>
            <w:tcW w:w="0" w:type="auto"/>
            <w:vAlign w:val="top"/>
          </w:tcPr>
          <w:p w14:paraId="02D24BEB" w14:textId="532AD58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121%</w:t>
            </w:r>
          </w:p>
        </w:tc>
        <w:tc>
          <w:tcPr>
            <w:tcW w:w="0" w:type="auto"/>
            <w:vAlign w:val="top"/>
          </w:tcPr>
          <w:p w14:paraId="2B144CCA" w14:textId="1B906A5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425</w:t>
            </w:r>
          </w:p>
        </w:tc>
        <w:tc>
          <w:tcPr>
            <w:tcW w:w="0" w:type="auto"/>
            <w:vAlign w:val="top"/>
          </w:tcPr>
          <w:p w14:paraId="1428C9AE" w14:textId="1699833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0</w:t>
            </w:r>
          </w:p>
        </w:tc>
        <w:tc>
          <w:tcPr>
            <w:tcW w:w="0" w:type="auto"/>
            <w:vAlign w:val="top"/>
          </w:tcPr>
          <w:p w14:paraId="02CFB014" w14:textId="3ABE9F3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0%</w:t>
            </w:r>
          </w:p>
        </w:tc>
      </w:tr>
      <w:tr w:rsidR="005321A3" w:rsidRPr="00D42547" w14:paraId="10007C09" w14:textId="46776C5C"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52E079E4" w14:textId="6E4C2FAF"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II_7</w:t>
            </w:r>
          </w:p>
        </w:tc>
        <w:tc>
          <w:tcPr>
            <w:tcW w:w="1686" w:type="dxa"/>
            <w:vAlign w:val="top"/>
          </w:tcPr>
          <w:p w14:paraId="08B0F6C0" w14:textId="0C01D0A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Health, Wellbeing and the Changing Structure of Communities</w:t>
            </w:r>
          </w:p>
        </w:tc>
        <w:tc>
          <w:tcPr>
            <w:tcW w:w="0" w:type="auto"/>
            <w:vAlign w:val="top"/>
          </w:tcPr>
          <w:p w14:paraId="07F6CBD7" w14:textId="2CCEB00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41</w:t>
            </w:r>
          </w:p>
        </w:tc>
        <w:tc>
          <w:tcPr>
            <w:tcW w:w="0" w:type="auto"/>
            <w:vAlign w:val="top"/>
          </w:tcPr>
          <w:p w14:paraId="21F6B167" w14:textId="1043B07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1517</w:t>
            </w:r>
          </w:p>
        </w:tc>
        <w:tc>
          <w:tcPr>
            <w:tcW w:w="0" w:type="auto"/>
            <w:vAlign w:val="top"/>
          </w:tcPr>
          <w:p w14:paraId="48BA4AB7" w14:textId="2D4EE7D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2779</w:t>
            </w:r>
          </w:p>
        </w:tc>
        <w:tc>
          <w:tcPr>
            <w:tcW w:w="0" w:type="auto"/>
            <w:vAlign w:val="top"/>
          </w:tcPr>
          <w:p w14:paraId="4C6DD05F" w14:textId="47214C1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183%</w:t>
            </w:r>
          </w:p>
        </w:tc>
        <w:tc>
          <w:tcPr>
            <w:tcW w:w="0" w:type="auto"/>
            <w:vAlign w:val="top"/>
          </w:tcPr>
          <w:p w14:paraId="55CF246A" w14:textId="7FC5F7B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2056</w:t>
            </w:r>
          </w:p>
        </w:tc>
        <w:tc>
          <w:tcPr>
            <w:tcW w:w="0" w:type="auto"/>
            <w:vAlign w:val="top"/>
          </w:tcPr>
          <w:p w14:paraId="7AFCA31F" w14:textId="1A4B191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928</w:t>
            </w:r>
          </w:p>
        </w:tc>
        <w:tc>
          <w:tcPr>
            <w:tcW w:w="0" w:type="auto"/>
            <w:vAlign w:val="top"/>
          </w:tcPr>
          <w:p w14:paraId="6E84E447" w14:textId="3DEF548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45%</w:t>
            </w:r>
          </w:p>
        </w:tc>
      </w:tr>
      <w:tr w:rsidR="005321A3" w:rsidRPr="00D42547" w14:paraId="7195589C" w14:textId="5266CD70"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7DA320E9" w14:textId="7BCE4F05"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II_8</w:t>
            </w:r>
          </w:p>
        </w:tc>
        <w:tc>
          <w:tcPr>
            <w:tcW w:w="1686" w:type="dxa"/>
            <w:vAlign w:val="top"/>
          </w:tcPr>
          <w:p w14:paraId="76327AF6" w14:textId="3CADCC6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Poverty, Livelihoods and Sustainable Development</w:t>
            </w:r>
          </w:p>
        </w:tc>
        <w:tc>
          <w:tcPr>
            <w:tcW w:w="0" w:type="auto"/>
            <w:vAlign w:val="top"/>
          </w:tcPr>
          <w:p w14:paraId="09A41400" w14:textId="0FD5C0B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31</w:t>
            </w:r>
          </w:p>
        </w:tc>
        <w:tc>
          <w:tcPr>
            <w:tcW w:w="0" w:type="auto"/>
            <w:vAlign w:val="top"/>
          </w:tcPr>
          <w:p w14:paraId="769FF560" w14:textId="164EED2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1147</w:t>
            </w:r>
          </w:p>
        </w:tc>
        <w:tc>
          <w:tcPr>
            <w:tcW w:w="0" w:type="auto"/>
            <w:vAlign w:val="top"/>
          </w:tcPr>
          <w:p w14:paraId="21238B82" w14:textId="6370190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1067</w:t>
            </w:r>
          </w:p>
        </w:tc>
        <w:tc>
          <w:tcPr>
            <w:tcW w:w="0" w:type="auto"/>
            <w:vAlign w:val="top"/>
          </w:tcPr>
          <w:p w14:paraId="289999F1" w14:textId="5E7C9D6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93%</w:t>
            </w:r>
          </w:p>
        </w:tc>
        <w:tc>
          <w:tcPr>
            <w:tcW w:w="0" w:type="auto"/>
            <w:vAlign w:val="top"/>
          </w:tcPr>
          <w:p w14:paraId="364BCEDA" w14:textId="59CB5B3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883</w:t>
            </w:r>
          </w:p>
        </w:tc>
        <w:tc>
          <w:tcPr>
            <w:tcW w:w="0" w:type="auto"/>
            <w:vAlign w:val="top"/>
          </w:tcPr>
          <w:p w14:paraId="111DFDA0" w14:textId="4E0F425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464</w:t>
            </w:r>
          </w:p>
        </w:tc>
        <w:tc>
          <w:tcPr>
            <w:tcW w:w="0" w:type="auto"/>
            <w:vAlign w:val="top"/>
          </w:tcPr>
          <w:p w14:paraId="4CE430F5" w14:textId="2189A9F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53%</w:t>
            </w:r>
          </w:p>
        </w:tc>
      </w:tr>
      <w:tr w:rsidR="005321A3" w:rsidRPr="00D42547" w14:paraId="1F360D85" w14:textId="3FA9D73A"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097558E1" w14:textId="34BA7C29"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II_9</w:t>
            </w:r>
          </w:p>
        </w:tc>
        <w:tc>
          <w:tcPr>
            <w:tcW w:w="1686" w:type="dxa"/>
            <w:vAlign w:val="top"/>
          </w:tcPr>
          <w:p w14:paraId="75DF5B1E" w14:textId="7287D81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Africa</w:t>
            </w:r>
          </w:p>
        </w:tc>
        <w:tc>
          <w:tcPr>
            <w:tcW w:w="0" w:type="auto"/>
            <w:vAlign w:val="top"/>
          </w:tcPr>
          <w:p w14:paraId="14B7949F" w14:textId="6CEC74E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53</w:t>
            </w:r>
          </w:p>
        </w:tc>
        <w:tc>
          <w:tcPr>
            <w:tcW w:w="0" w:type="auto"/>
            <w:vAlign w:val="top"/>
          </w:tcPr>
          <w:p w14:paraId="61CD6204" w14:textId="464E11F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1961</w:t>
            </w:r>
          </w:p>
        </w:tc>
        <w:tc>
          <w:tcPr>
            <w:tcW w:w="0" w:type="auto"/>
            <w:vAlign w:val="top"/>
          </w:tcPr>
          <w:p w14:paraId="334617AD" w14:textId="6DB0127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1908</w:t>
            </w:r>
          </w:p>
        </w:tc>
        <w:tc>
          <w:tcPr>
            <w:tcW w:w="0" w:type="auto"/>
            <w:vAlign w:val="top"/>
          </w:tcPr>
          <w:p w14:paraId="0130DE55" w14:textId="16C093E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97%</w:t>
            </w:r>
          </w:p>
        </w:tc>
        <w:tc>
          <w:tcPr>
            <w:tcW w:w="0" w:type="auto"/>
            <w:vAlign w:val="top"/>
          </w:tcPr>
          <w:p w14:paraId="3E9B1E2B" w14:textId="147C042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1545</w:t>
            </w:r>
          </w:p>
        </w:tc>
        <w:tc>
          <w:tcPr>
            <w:tcW w:w="0" w:type="auto"/>
            <w:vAlign w:val="top"/>
          </w:tcPr>
          <w:p w14:paraId="712873B4" w14:textId="3A71683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1105</w:t>
            </w:r>
          </w:p>
        </w:tc>
        <w:tc>
          <w:tcPr>
            <w:tcW w:w="0" w:type="auto"/>
            <w:vAlign w:val="top"/>
          </w:tcPr>
          <w:p w14:paraId="71B2B498" w14:textId="3949243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72%</w:t>
            </w:r>
          </w:p>
        </w:tc>
      </w:tr>
      <w:tr w:rsidR="005321A3" w:rsidRPr="00D42547" w14:paraId="61590007" w14:textId="51C6A8B5"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77B16787" w14:textId="713A08C8"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II_10</w:t>
            </w:r>
          </w:p>
        </w:tc>
        <w:tc>
          <w:tcPr>
            <w:tcW w:w="1686" w:type="dxa"/>
            <w:vAlign w:val="top"/>
          </w:tcPr>
          <w:p w14:paraId="6BDD996E" w14:textId="607B006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Asia</w:t>
            </w:r>
          </w:p>
        </w:tc>
        <w:tc>
          <w:tcPr>
            <w:tcW w:w="0" w:type="auto"/>
            <w:vAlign w:val="top"/>
          </w:tcPr>
          <w:p w14:paraId="2F5406AD" w14:textId="3C15272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42</w:t>
            </w:r>
          </w:p>
        </w:tc>
        <w:tc>
          <w:tcPr>
            <w:tcW w:w="0" w:type="auto"/>
            <w:vAlign w:val="top"/>
          </w:tcPr>
          <w:p w14:paraId="4590DC1C" w14:textId="128BA98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1554</w:t>
            </w:r>
          </w:p>
        </w:tc>
        <w:tc>
          <w:tcPr>
            <w:tcW w:w="0" w:type="auto"/>
            <w:vAlign w:val="top"/>
          </w:tcPr>
          <w:p w14:paraId="2E670E1A" w14:textId="74F7D65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2054</w:t>
            </w:r>
          </w:p>
        </w:tc>
        <w:tc>
          <w:tcPr>
            <w:tcW w:w="0" w:type="auto"/>
            <w:vAlign w:val="top"/>
          </w:tcPr>
          <w:p w14:paraId="774A0F8D" w14:textId="62E5DED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132%</w:t>
            </w:r>
          </w:p>
        </w:tc>
        <w:tc>
          <w:tcPr>
            <w:tcW w:w="0" w:type="auto"/>
            <w:vAlign w:val="top"/>
          </w:tcPr>
          <w:p w14:paraId="4E3DD110" w14:textId="3C56864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1299</w:t>
            </w:r>
          </w:p>
        </w:tc>
        <w:tc>
          <w:tcPr>
            <w:tcW w:w="0" w:type="auto"/>
            <w:vAlign w:val="top"/>
          </w:tcPr>
          <w:p w14:paraId="028A8622" w14:textId="2BB7C09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674</w:t>
            </w:r>
          </w:p>
        </w:tc>
        <w:tc>
          <w:tcPr>
            <w:tcW w:w="0" w:type="auto"/>
            <w:vAlign w:val="top"/>
          </w:tcPr>
          <w:p w14:paraId="4D4318E5" w14:textId="45FE5AF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52%</w:t>
            </w:r>
          </w:p>
        </w:tc>
      </w:tr>
      <w:tr w:rsidR="005321A3" w:rsidRPr="00D42547" w14:paraId="6AA3BAC5" w14:textId="23B872A2"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2E62EEED" w14:textId="5A6FE354"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II_11</w:t>
            </w:r>
          </w:p>
        </w:tc>
        <w:tc>
          <w:tcPr>
            <w:tcW w:w="1686" w:type="dxa"/>
            <w:vAlign w:val="top"/>
          </w:tcPr>
          <w:p w14:paraId="2474C088" w14:textId="69CAE22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Australasia</w:t>
            </w:r>
          </w:p>
        </w:tc>
        <w:tc>
          <w:tcPr>
            <w:tcW w:w="0" w:type="auto"/>
            <w:vAlign w:val="top"/>
          </w:tcPr>
          <w:p w14:paraId="2E0AF15B" w14:textId="12F3A04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36</w:t>
            </w:r>
          </w:p>
        </w:tc>
        <w:tc>
          <w:tcPr>
            <w:tcW w:w="0" w:type="auto"/>
            <w:vAlign w:val="top"/>
          </w:tcPr>
          <w:p w14:paraId="74DA02A0" w14:textId="2757628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1332</w:t>
            </w:r>
          </w:p>
        </w:tc>
        <w:tc>
          <w:tcPr>
            <w:tcW w:w="0" w:type="auto"/>
            <w:vAlign w:val="top"/>
          </w:tcPr>
          <w:p w14:paraId="76A1934B" w14:textId="27A3541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1794</w:t>
            </w:r>
          </w:p>
        </w:tc>
        <w:tc>
          <w:tcPr>
            <w:tcW w:w="0" w:type="auto"/>
            <w:vAlign w:val="top"/>
          </w:tcPr>
          <w:p w14:paraId="243F0E5C" w14:textId="3FDE031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135%</w:t>
            </w:r>
          </w:p>
        </w:tc>
        <w:tc>
          <w:tcPr>
            <w:tcW w:w="0" w:type="auto"/>
            <w:vAlign w:val="top"/>
          </w:tcPr>
          <w:p w14:paraId="094934DB" w14:textId="22A40D6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1118</w:t>
            </w:r>
          </w:p>
        </w:tc>
        <w:tc>
          <w:tcPr>
            <w:tcW w:w="0" w:type="auto"/>
            <w:vAlign w:val="top"/>
          </w:tcPr>
          <w:p w14:paraId="39223C52" w14:textId="4363A2E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700</w:t>
            </w:r>
          </w:p>
        </w:tc>
        <w:tc>
          <w:tcPr>
            <w:tcW w:w="0" w:type="auto"/>
            <w:vAlign w:val="top"/>
          </w:tcPr>
          <w:p w14:paraId="7612678C" w14:textId="49F5B16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63%</w:t>
            </w:r>
          </w:p>
        </w:tc>
      </w:tr>
      <w:tr w:rsidR="005321A3" w:rsidRPr="00D42547" w14:paraId="0D6AE83F" w14:textId="31FB29D5"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26410124" w14:textId="11710554"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II_12</w:t>
            </w:r>
          </w:p>
        </w:tc>
        <w:tc>
          <w:tcPr>
            <w:tcW w:w="1686" w:type="dxa"/>
            <w:vAlign w:val="top"/>
          </w:tcPr>
          <w:p w14:paraId="26D5994C" w14:textId="2752EC9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Central and South America</w:t>
            </w:r>
          </w:p>
        </w:tc>
        <w:tc>
          <w:tcPr>
            <w:tcW w:w="0" w:type="auto"/>
            <w:vAlign w:val="top"/>
          </w:tcPr>
          <w:p w14:paraId="6B66BC91" w14:textId="5E6CE15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46</w:t>
            </w:r>
          </w:p>
        </w:tc>
        <w:tc>
          <w:tcPr>
            <w:tcW w:w="0" w:type="auto"/>
            <w:vAlign w:val="top"/>
          </w:tcPr>
          <w:p w14:paraId="5F5CFD36" w14:textId="120D94D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1702</w:t>
            </w:r>
          </w:p>
        </w:tc>
        <w:tc>
          <w:tcPr>
            <w:tcW w:w="0" w:type="auto"/>
            <w:vAlign w:val="top"/>
          </w:tcPr>
          <w:p w14:paraId="21552D4A" w14:textId="4328A80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2654</w:t>
            </w:r>
          </w:p>
        </w:tc>
        <w:tc>
          <w:tcPr>
            <w:tcW w:w="0" w:type="auto"/>
            <w:vAlign w:val="top"/>
          </w:tcPr>
          <w:p w14:paraId="62FA6753" w14:textId="09C2C9E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156%</w:t>
            </w:r>
          </w:p>
        </w:tc>
        <w:tc>
          <w:tcPr>
            <w:tcW w:w="0" w:type="auto"/>
            <w:vAlign w:val="top"/>
          </w:tcPr>
          <w:p w14:paraId="7A7D677C" w14:textId="20EC9F2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1962</w:t>
            </w:r>
          </w:p>
        </w:tc>
        <w:tc>
          <w:tcPr>
            <w:tcW w:w="0" w:type="auto"/>
            <w:vAlign w:val="top"/>
          </w:tcPr>
          <w:p w14:paraId="3580881F" w14:textId="606CD65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977</w:t>
            </w:r>
          </w:p>
        </w:tc>
        <w:tc>
          <w:tcPr>
            <w:tcW w:w="0" w:type="auto"/>
            <w:vAlign w:val="top"/>
          </w:tcPr>
          <w:p w14:paraId="0B809A09" w14:textId="71A3317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50%</w:t>
            </w:r>
          </w:p>
        </w:tc>
      </w:tr>
      <w:tr w:rsidR="005321A3" w:rsidRPr="00D42547" w14:paraId="7BBC362E" w14:textId="3870A2E6"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595C7461" w14:textId="37E62C00"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II_13</w:t>
            </w:r>
          </w:p>
        </w:tc>
        <w:tc>
          <w:tcPr>
            <w:tcW w:w="1686" w:type="dxa"/>
            <w:vAlign w:val="top"/>
          </w:tcPr>
          <w:p w14:paraId="4AE98F9E" w14:textId="334BA22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Europe</w:t>
            </w:r>
          </w:p>
        </w:tc>
        <w:tc>
          <w:tcPr>
            <w:tcW w:w="0" w:type="auto"/>
            <w:vAlign w:val="top"/>
          </w:tcPr>
          <w:p w14:paraId="7D378D31" w14:textId="2E137B2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35</w:t>
            </w:r>
          </w:p>
        </w:tc>
        <w:tc>
          <w:tcPr>
            <w:tcW w:w="0" w:type="auto"/>
            <w:vAlign w:val="top"/>
          </w:tcPr>
          <w:p w14:paraId="5730871D" w14:textId="3C67935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1295</w:t>
            </w:r>
          </w:p>
        </w:tc>
        <w:tc>
          <w:tcPr>
            <w:tcW w:w="0" w:type="auto"/>
            <w:vAlign w:val="top"/>
          </w:tcPr>
          <w:p w14:paraId="29D5044E" w14:textId="10C8164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1367</w:t>
            </w:r>
          </w:p>
        </w:tc>
        <w:tc>
          <w:tcPr>
            <w:tcW w:w="0" w:type="auto"/>
            <w:vAlign w:val="top"/>
          </w:tcPr>
          <w:p w14:paraId="7935D374" w14:textId="670AA11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106%</w:t>
            </w:r>
          </w:p>
        </w:tc>
        <w:tc>
          <w:tcPr>
            <w:tcW w:w="0" w:type="auto"/>
            <w:vAlign w:val="top"/>
          </w:tcPr>
          <w:p w14:paraId="0A45A36D" w14:textId="3E8FC81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1158</w:t>
            </w:r>
          </w:p>
        </w:tc>
        <w:tc>
          <w:tcPr>
            <w:tcW w:w="0" w:type="auto"/>
            <w:vAlign w:val="top"/>
          </w:tcPr>
          <w:p w14:paraId="5BF53E1C" w14:textId="4A68062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711</w:t>
            </w:r>
          </w:p>
        </w:tc>
        <w:tc>
          <w:tcPr>
            <w:tcW w:w="0" w:type="auto"/>
            <w:vAlign w:val="top"/>
          </w:tcPr>
          <w:p w14:paraId="542616B6" w14:textId="1CAE019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61%</w:t>
            </w:r>
          </w:p>
        </w:tc>
      </w:tr>
      <w:tr w:rsidR="005321A3" w:rsidRPr="00D42547" w14:paraId="0D793A29" w14:textId="3ECB849C"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7E7769F5" w14:textId="1432D697"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II_14</w:t>
            </w:r>
          </w:p>
        </w:tc>
        <w:tc>
          <w:tcPr>
            <w:tcW w:w="1686" w:type="dxa"/>
            <w:vAlign w:val="top"/>
          </w:tcPr>
          <w:p w14:paraId="4628E7E5" w14:textId="779822E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North America</w:t>
            </w:r>
          </w:p>
        </w:tc>
        <w:tc>
          <w:tcPr>
            <w:tcW w:w="0" w:type="auto"/>
            <w:vAlign w:val="top"/>
          </w:tcPr>
          <w:p w14:paraId="2A551AD4" w14:textId="6C8BDE6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43</w:t>
            </w:r>
          </w:p>
        </w:tc>
        <w:tc>
          <w:tcPr>
            <w:tcW w:w="0" w:type="auto"/>
            <w:vAlign w:val="top"/>
          </w:tcPr>
          <w:p w14:paraId="1DF2FA4E" w14:textId="4CDFC39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1591</w:t>
            </w:r>
          </w:p>
        </w:tc>
        <w:tc>
          <w:tcPr>
            <w:tcW w:w="0" w:type="auto"/>
            <w:vAlign w:val="top"/>
          </w:tcPr>
          <w:p w14:paraId="3D45AFD3" w14:textId="1DD1E0C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1665</w:t>
            </w:r>
          </w:p>
        </w:tc>
        <w:tc>
          <w:tcPr>
            <w:tcW w:w="0" w:type="auto"/>
            <w:vAlign w:val="top"/>
          </w:tcPr>
          <w:p w14:paraId="0A29F226" w14:textId="17A8A60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105%</w:t>
            </w:r>
          </w:p>
        </w:tc>
        <w:tc>
          <w:tcPr>
            <w:tcW w:w="0" w:type="auto"/>
            <w:vAlign w:val="top"/>
          </w:tcPr>
          <w:p w14:paraId="7C1C7056" w14:textId="6E743AC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1077</w:t>
            </w:r>
          </w:p>
        </w:tc>
        <w:tc>
          <w:tcPr>
            <w:tcW w:w="0" w:type="auto"/>
            <w:vAlign w:val="top"/>
          </w:tcPr>
          <w:p w14:paraId="42B624DA" w14:textId="13C0B64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815</w:t>
            </w:r>
          </w:p>
        </w:tc>
        <w:tc>
          <w:tcPr>
            <w:tcW w:w="0" w:type="auto"/>
            <w:vAlign w:val="top"/>
          </w:tcPr>
          <w:p w14:paraId="20AB2D50" w14:textId="5A7FE9D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76%</w:t>
            </w:r>
          </w:p>
        </w:tc>
      </w:tr>
      <w:tr w:rsidR="005321A3" w:rsidRPr="00D42547" w14:paraId="12E91909" w14:textId="7B0F78E9"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7EB8F6BB" w14:textId="7D5F297B"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II_15</w:t>
            </w:r>
          </w:p>
        </w:tc>
        <w:tc>
          <w:tcPr>
            <w:tcW w:w="1686" w:type="dxa"/>
            <w:vAlign w:val="top"/>
          </w:tcPr>
          <w:p w14:paraId="18DE5AD9" w14:textId="227F0FD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Small Islands</w:t>
            </w:r>
          </w:p>
        </w:tc>
        <w:tc>
          <w:tcPr>
            <w:tcW w:w="0" w:type="auto"/>
            <w:vAlign w:val="top"/>
          </w:tcPr>
          <w:p w14:paraId="254FF480" w14:textId="3F5EB40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21</w:t>
            </w:r>
          </w:p>
        </w:tc>
        <w:tc>
          <w:tcPr>
            <w:tcW w:w="0" w:type="auto"/>
            <w:vAlign w:val="top"/>
          </w:tcPr>
          <w:p w14:paraId="076398C9" w14:textId="2F2DFB7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777</w:t>
            </w:r>
          </w:p>
        </w:tc>
        <w:tc>
          <w:tcPr>
            <w:tcW w:w="0" w:type="auto"/>
            <w:vAlign w:val="top"/>
          </w:tcPr>
          <w:p w14:paraId="127C69EE" w14:textId="3BF5564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841</w:t>
            </w:r>
          </w:p>
        </w:tc>
        <w:tc>
          <w:tcPr>
            <w:tcW w:w="0" w:type="auto"/>
            <w:vAlign w:val="top"/>
          </w:tcPr>
          <w:p w14:paraId="70745EB2" w14:textId="4DFC649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108%</w:t>
            </w:r>
          </w:p>
        </w:tc>
        <w:tc>
          <w:tcPr>
            <w:tcW w:w="0" w:type="auto"/>
            <w:vAlign w:val="top"/>
          </w:tcPr>
          <w:p w14:paraId="54413A5E" w14:textId="7B39772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736</w:t>
            </w:r>
          </w:p>
        </w:tc>
        <w:tc>
          <w:tcPr>
            <w:tcW w:w="0" w:type="auto"/>
            <w:vAlign w:val="top"/>
          </w:tcPr>
          <w:p w14:paraId="2E07789C" w14:textId="631D666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563</w:t>
            </w:r>
          </w:p>
        </w:tc>
        <w:tc>
          <w:tcPr>
            <w:tcW w:w="0" w:type="auto"/>
            <w:vAlign w:val="top"/>
          </w:tcPr>
          <w:p w14:paraId="1B9E86BF" w14:textId="783A3A0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76%</w:t>
            </w:r>
          </w:p>
        </w:tc>
      </w:tr>
      <w:tr w:rsidR="005321A3" w:rsidRPr="00D42547" w14:paraId="41A0A46E" w14:textId="55210646"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137222B9" w14:textId="46C75097"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II_16</w:t>
            </w:r>
          </w:p>
        </w:tc>
        <w:tc>
          <w:tcPr>
            <w:tcW w:w="1686" w:type="dxa"/>
            <w:vAlign w:val="top"/>
          </w:tcPr>
          <w:p w14:paraId="1CAACC61" w14:textId="7F8F9FEA" w:rsidR="005321A3" w:rsidRPr="005321A3"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Key Risks across Sectors and Regions</w:t>
            </w:r>
          </w:p>
        </w:tc>
        <w:tc>
          <w:tcPr>
            <w:tcW w:w="0" w:type="auto"/>
            <w:vAlign w:val="top"/>
          </w:tcPr>
          <w:p w14:paraId="5F6F6F6A" w14:textId="1213D1A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30</w:t>
            </w:r>
          </w:p>
        </w:tc>
        <w:tc>
          <w:tcPr>
            <w:tcW w:w="0" w:type="auto"/>
            <w:vAlign w:val="top"/>
          </w:tcPr>
          <w:p w14:paraId="51122EF7" w14:textId="1D5FB97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1110</w:t>
            </w:r>
          </w:p>
        </w:tc>
        <w:tc>
          <w:tcPr>
            <w:tcW w:w="0" w:type="auto"/>
            <w:vAlign w:val="top"/>
          </w:tcPr>
          <w:p w14:paraId="6FB836E5" w14:textId="66AC03E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3898</w:t>
            </w:r>
          </w:p>
        </w:tc>
        <w:tc>
          <w:tcPr>
            <w:tcW w:w="0" w:type="auto"/>
            <w:vAlign w:val="top"/>
          </w:tcPr>
          <w:p w14:paraId="034A30C7" w14:textId="701E388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351%</w:t>
            </w:r>
          </w:p>
        </w:tc>
        <w:tc>
          <w:tcPr>
            <w:tcW w:w="0" w:type="auto"/>
            <w:vAlign w:val="top"/>
          </w:tcPr>
          <w:p w14:paraId="49D15C87" w14:textId="559266E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2655</w:t>
            </w:r>
          </w:p>
        </w:tc>
        <w:tc>
          <w:tcPr>
            <w:tcW w:w="0" w:type="auto"/>
            <w:vAlign w:val="top"/>
          </w:tcPr>
          <w:p w14:paraId="05334652" w14:textId="79EF835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661</w:t>
            </w:r>
          </w:p>
        </w:tc>
        <w:tc>
          <w:tcPr>
            <w:tcW w:w="0" w:type="auto"/>
            <w:vAlign w:val="top"/>
          </w:tcPr>
          <w:p w14:paraId="6EFA803F" w14:textId="6CD16B2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25%</w:t>
            </w:r>
          </w:p>
        </w:tc>
      </w:tr>
      <w:tr w:rsidR="005321A3" w:rsidRPr="00D42547" w14:paraId="0C80991F" w14:textId="7018A03B"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4AD0DC9D" w14:textId="676B82E6"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II_17</w:t>
            </w:r>
          </w:p>
        </w:tc>
        <w:tc>
          <w:tcPr>
            <w:tcW w:w="1686" w:type="dxa"/>
            <w:vAlign w:val="top"/>
          </w:tcPr>
          <w:p w14:paraId="49AC45E8" w14:textId="43F6DB0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Decision-Making Options for Managing Risk</w:t>
            </w:r>
          </w:p>
        </w:tc>
        <w:tc>
          <w:tcPr>
            <w:tcW w:w="0" w:type="auto"/>
            <w:vAlign w:val="top"/>
          </w:tcPr>
          <w:p w14:paraId="7102AB12" w14:textId="7C5A8EA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33</w:t>
            </w:r>
          </w:p>
        </w:tc>
        <w:tc>
          <w:tcPr>
            <w:tcW w:w="0" w:type="auto"/>
            <w:vAlign w:val="top"/>
          </w:tcPr>
          <w:p w14:paraId="0E69D0EC" w14:textId="391F6BA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1221</w:t>
            </w:r>
          </w:p>
        </w:tc>
        <w:tc>
          <w:tcPr>
            <w:tcW w:w="0" w:type="auto"/>
            <w:vAlign w:val="top"/>
          </w:tcPr>
          <w:p w14:paraId="737A0037" w14:textId="526AEF0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3594</w:t>
            </w:r>
          </w:p>
        </w:tc>
        <w:tc>
          <w:tcPr>
            <w:tcW w:w="0" w:type="auto"/>
            <w:vAlign w:val="top"/>
          </w:tcPr>
          <w:p w14:paraId="640D5499" w14:textId="6B5FC51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294%</w:t>
            </w:r>
          </w:p>
        </w:tc>
        <w:tc>
          <w:tcPr>
            <w:tcW w:w="0" w:type="auto"/>
            <w:vAlign w:val="top"/>
          </w:tcPr>
          <w:p w14:paraId="1F5EE96B" w14:textId="16192ED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1503</w:t>
            </w:r>
          </w:p>
        </w:tc>
        <w:tc>
          <w:tcPr>
            <w:tcW w:w="0" w:type="auto"/>
            <w:vAlign w:val="top"/>
          </w:tcPr>
          <w:p w14:paraId="55B612AC" w14:textId="748EAAB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440</w:t>
            </w:r>
          </w:p>
        </w:tc>
        <w:tc>
          <w:tcPr>
            <w:tcW w:w="0" w:type="auto"/>
            <w:vAlign w:val="top"/>
          </w:tcPr>
          <w:p w14:paraId="7BC7EB32" w14:textId="3909533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29%</w:t>
            </w:r>
          </w:p>
        </w:tc>
      </w:tr>
      <w:tr w:rsidR="005321A3" w:rsidRPr="00D42547" w14:paraId="2464A21A" w14:textId="04B2B1E4"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3C7EF442" w14:textId="2289ADCA"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II_18</w:t>
            </w:r>
          </w:p>
        </w:tc>
        <w:tc>
          <w:tcPr>
            <w:tcW w:w="1686" w:type="dxa"/>
            <w:vAlign w:val="top"/>
          </w:tcPr>
          <w:p w14:paraId="6D6D5214" w14:textId="703D81A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Climate Resilient Development Pathways</w:t>
            </w:r>
          </w:p>
        </w:tc>
        <w:tc>
          <w:tcPr>
            <w:tcW w:w="0" w:type="auto"/>
            <w:vAlign w:val="top"/>
          </w:tcPr>
          <w:p w14:paraId="15F2BBC2" w14:textId="05715DC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51</w:t>
            </w:r>
          </w:p>
        </w:tc>
        <w:tc>
          <w:tcPr>
            <w:tcW w:w="0" w:type="auto"/>
            <w:vAlign w:val="top"/>
          </w:tcPr>
          <w:p w14:paraId="1C19C9EF" w14:textId="6928588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1887</w:t>
            </w:r>
          </w:p>
        </w:tc>
        <w:tc>
          <w:tcPr>
            <w:tcW w:w="0" w:type="auto"/>
            <w:vAlign w:val="top"/>
          </w:tcPr>
          <w:p w14:paraId="781AB482" w14:textId="5419DBE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1199</w:t>
            </w:r>
          </w:p>
        </w:tc>
        <w:tc>
          <w:tcPr>
            <w:tcW w:w="0" w:type="auto"/>
            <w:vAlign w:val="top"/>
          </w:tcPr>
          <w:p w14:paraId="02069F8D" w14:textId="7F15016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64%</w:t>
            </w:r>
          </w:p>
        </w:tc>
        <w:tc>
          <w:tcPr>
            <w:tcW w:w="0" w:type="auto"/>
            <w:vAlign w:val="top"/>
          </w:tcPr>
          <w:p w14:paraId="0AAA803E" w14:textId="158B570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695</w:t>
            </w:r>
          </w:p>
        </w:tc>
        <w:tc>
          <w:tcPr>
            <w:tcW w:w="0" w:type="auto"/>
            <w:vAlign w:val="top"/>
          </w:tcPr>
          <w:p w14:paraId="17692E99" w14:textId="203765E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531</w:t>
            </w:r>
          </w:p>
        </w:tc>
        <w:tc>
          <w:tcPr>
            <w:tcW w:w="0" w:type="auto"/>
            <w:vAlign w:val="top"/>
          </w:tcPr>
          <w:p w14:paraId="565F229C" w14:textId="35CA7C4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76%</w:t>
            </w:r>
          </w:p>
        </w:tc>
      </w:tr>
      <w:tr w:rsidR="005321A3" w:rsidRPr="00D42547" w14:paraId="5ED21F52" w14:textId="3A93AC9A"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43AB95D6" w14:textId="16DCD801"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II_19</w:t>
            </w:r>
          </w:p>
        </w:tc>
        <w:tc>
          <w:tcPr>
            <w:tcW w:w="1686" w:type="dxa"/>
            <w:vAlign w:val="top"/>
          </w:tcPr>
          <w:p w14:paraId="28A01D24" w14:textId="02A46D1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Biodiversity Hotspots</w:t>
            </w:r>
          </w:p>
        </w:tc>
        <w:tc>
          <w:tcPr>
            <w:tcW w:w="0" w:type="auto"/>
            <w:vAlign w:val="top"/>
          </w:tcPr>
          <w:p w14:paraId="218AC539" w14:textId="4BD9828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9</w:t>
            </w:r>
          </w:p>
        </w:tc>
        <w:tc>
          <w:tcPr>
            <w:tcW w:w="0" w:type="auto"/>
            <w:vAlign w:val="top"/>
          </w:tcPr>
          <w:p w14:paraId="63BCD8B2" w14:textId="727100B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333</w:t>
            </w:r>
          </w:p>
        </w:tc>
        <w:tc>
          <w:tcPr>
            <w:tcW w:w="0" w:type="auto"/>
            <w:vAlign w:val="top"/>
          </w:tcPr>
          <w:p w14:paraId="34CEC57D" w14:textId="63E3D53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2834</w:t>
            </w:r>
          </w:p>
        </w:tc>
        <w:tc>
          <w:tcPr>
            <w:tcW w:w="0" w:type="auto"/>
            <w:vAlign w:val="top"/>
          </w:tcPr>
          <w:p w14:paraId="4AA9433E" w14:textId="367852B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851%</w:t>
            </w:r>
          </w:p>
        </w:tc>
        <w:tc>
          <w:tcPr>
            <w:tcW w:w="0" w:type="auto"/>
            <w:vAlign w:val="top"/>
          </w:tcPr>
          <w:p w14:paraId="59D0947A" w14:textId="3746A0B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1511</w:t>
            </w:r>
          </w:p>
        </w:tc>
        <w:tc>
          <w:tcPr>
            <w:tcW w:w="0" w:type="auto"/>
            <w:vAlign w:val="top"/>
          </w:tcPr>
          <w:p w14:paraId="72540825" w14:textId="084C1BE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256</w:t>
            </w:r>
          </w:p>
        </w:tc>
        <w:tc>
          <w:tcPr>
            <w:tcW w:w="0" w:type="auto"/>
            <w:vAlign w:val="top"/>
          </w:tcPr>
          <w:p w14:paraId="4E517493" w14:textId="340DE5E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17%</w:t>
            </w:r>
          </w:p>
        </w:tc>
      </w:tr>
      <w:tr w:rsidR="005321A3" w:rsidRPr="00D42547" w14:paraId="784FC773" w14:textId="700171B9"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3E0873E4" w14:textId="31576BFD"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II_20</w:t>
            </w:r>
          </w:p>
        </w:tc>
        <w:tc>
          <w:tcPr>
            <w:tcW w:w="1686" w:type="dxa"/>
            <w:vAlign w:val="top"/>
          </w:tcPr>
          <w:p w14:paraId="6552C944" w14:textId="78F8E709" w:rsidR="005321A3" w:rsidRPr="005321A3"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Cities, Settlements and Key Infrastructure</w:t>
            </w:r>
          </w:p>
        </w:tc>
        <w:tc>
          <w:tcPr>
            <w:tcW w:w="0" w:type="auto"/>
            <w:vAlign w:val="top"/>
          </w:tcPr>
          <w:p w14:paraId="340034EF" w14:textId="7435ECA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10</w:t>
            </w:r>
          </w:p>
        </w:tc>
        <w:tc>
          <w:tcPr>
            <w:tcW w:w="0" w:type="auto"/>
            <w:vAlign w:val="top"/>
          </w:tcPr>
          <w:p w14:paraId="06FB78A3" w14:textId="53C4EA6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370</w:t>
            </w:r>
          </w:p>
        </w:tc>
        <w:tc>
          <w:tcPr>
            <w:tcW w:w="0" w:type="auto"/>
            <w:vAlign w:val="top"/>
          </w:tcPr>
          <w:p w14:paraId="3BD797F0" w14:textId="4109E9E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886</w:t>
            </w:r>
          </w:p>
        </w:tc>
        <w:tc>
          <w:tcPr>
            <w:tcW w:w="0" w:type="auto"/>
            <w:vAlign w:val="top"/>
          </w:tcPr>
          <w:p w14:paraId="7EB985E8" w14:textId="345E4DC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239%</w:t>
            </w:r>
          </w:p>
        </w:tc>
        <w:tc>
          <w:tcPr>
            <w:tcW w:w="0" w:type="auto"/>
            <w:vAlign w:val="top"/>
          </w:tcPr>
          <w:p w14:paraId="3B2A15DA" w14:textId="5CDD730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731</w:t>
            </w:r>
          </w:p>
        </w:tc>
        <w:tc>
          <w:tcPr>
            <w:tcW w:w="0" w:type="auto"/>
            <w:vAlign w:val="top"/>
          </w:tcPr>
          <w:p w14:paraId="7B572410" w14:textId="6AD7BC2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146</w:t>
            </w:r>
          </w:p>
        </w:tc>
        <w:tc>
          <w:tcPr>
            <w:tcW w:w="0" w:type="auto"/>
            <w:vAlign w:val="top"/>
          </w:tcPr>
          <w:p w14:paraId="0274AFEF" w14:textId="143A181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20%</w:t>
            </w:r>
          </w:p>
        </w:tc>
      </w:tr>
      <w:tr w:rsidR="005321A3" w:rsidRPr="00D42547" w14:paraId="7E17B9A3" w14:textId="22DAA7B7"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27A3767F" w14:textId="01D6A9A6"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II_21</w:t>
            </w:r>
          </w:p>
        </w:tc>
        <w:tc>
          <w:tcPr>
            <w:tcW w:w="1686" w:type="dxa"/>
            <w:vAlign w:val="top"/>
          </w:tcPr>
          <w:p w14:paraId="4505B962" w14:textId="7FC4378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Deserts, Semiarid and Desertification</w:t>
            </w:r>
          </w:p>
        </w:tc>
        <w:tc>
          <w:tcPr>
            <w:tcW w:w="0" w:type="auto"/>
            <w:vAlign w:val="top"/>
          </w:tcPr>
          <w:p w14:paraId="07A5B6E0" w14:textId="4462727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13</w:t>
            </w:r>
          </w:p>
        </w:tc>
        <w:tc>
          <w:tcPr>
            <w:tcW w:w="0" w:type="auto"/>
            <w:vAlign w:val="top"/>
          </w:tcPr>
          <w:p w14:paraId="7B6573C8" w14:textId="0FCE771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481</w:t>
            </w:r>
          </w:p>
        </w:tc>
        <w:tc>
          <w:tcPr>
            <w:tcW w:w="0" w:type="auto"/>
            <w:vAlign w:val="top"/>
          </w:tcPr>
          <w:p w14:paraId="19A32809" w14:textId="20DBB55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673</w:t>
            </w:r>
          </w:p>
        </w:tc>
        <w:tc>
          <w:tcPr>
            <w:tcW w:w="0" w:type="auto"/>
            <w:vAlign w:val="top"/>
          </w:tcPr>
          <w:p w14:paraId="713BBEA9" w14:textId="27C8E52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140%</w:t>
            </w:r>
          </w:p>
        </w:tc>
        <w:tc>
          <w:tcPr>
            <w:tcW w:w="0" w:type="auto"/>
            <w:vAlign w:val="top"/>
          </w:tcPr>
          <w:p w14:paraId="32245FCA" w14:textId="39761C3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458</w:t>
            </w:r>
          </w:p>
        </w:tc>
        <w:tc>
          <w:tcPr>
            <w:tcW w:w="0" w:type="auto"/>
            <w:vAlign w:val="top"/>
          </w:tcPr>
          <w:p w14:paraId="304FF03A" w14:textId="715AA77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188</w:t>
            </w:r>
          </w:p>
        </w:tc>
        <w:tc>
          <w:tcPr>
            <w:tcW w:w="0" w:type="auto"/>
            <w:vAlign w:val="top"/>
          </w:tcPr>
          <w:p w14:paraId="3960EF39" w14:textId="13BB6BF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41%</w:t>
            </w:r>
          </w:p>
        </w:tc>
      </w:tr>
      <w:tr w:rsidR="005321A3" w:rsidRPr="00D42547" w14:paraId="46312C89" w14:textId="13D73C87"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6F399753" w14:textId="2336E587"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II_22</w:t>
            </w:r>
          </w:p>
        </w:tc>
        <w:tc>
          <w:tcPr>
            <w:tcW w:w="1686" w:type="dxa"/>
            <w:vAlign w:val="top"/>
          </w:tcPr>
          <w:p w14:paraId="0F6F47C3" w14:textId="2592751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Mediterranean Region</w:t>
            </w:r>
          </w:p>
        </w:tc>
        <w:tc>
          <w:tcPr>
            <w:tcW w:w="0" w:type="auto"/>
            <w:vAlign w:val="top"/>
          </w:tcPr>
          <w:p w14:paraId="3B20BA03" w14:textId="7EBC16E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16</w:t>
            </w:r>
          </w:p>
        </w:tc>
        <w:tc>
          <w:tcPr>
            <w:tcW w:w="0" w:type="auto"/>
            <w:vAlign w:val="top"/>
          </w:tcPr>
          <w:p w14:paraId="718CEB70" w14:textId="10C7A2C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592</w:t>
            </w:r>
          </w:p>
        </w:tc>
        <w:tc>
          <w:tcPr>
            <w:tcW w:w="0" w:type="auto"/>
            <w:vAlign w:val="top"/>
          </w:tcPr>
          <w:p w14:paraId="4BD5463B" w14:textId="610D0B5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644</w:t>
            </w:r>
          </w:p>
        </w:tc>
        <w:tc>
          <w:tcPr>
            <w:tcW w:w="0" w:type="auto"/>
            <w:vAlign w:val="top"/>
          </w:tcPr>
          <w:p w14:paraId="5880FD95" w14:textId="4C7935E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109%</w:t>
            </w:r>
          </w:p>
        </w:tc>
        <w:tc>
          <w:tcPr>
            <w:tcW w:w="0" w:type="auto"/>
            <w:vAlign w:val="top"/>
          </w:tcPr>
          <w:p w14:paraId="5EC06F94" w14:textId="2D5B8FD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555</w:t>
            </w:r>
          </w:p>
        </w:tc>
        <w:tc>
          <w:tcPr>
            <w:tcW w:w="0" w:type="auto"/>
            <w:vAlign w:val="top"/>
          </w:tcPr>
          <w:p w14:paraId="1ED18195" w14:textId="3DD87FF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363</w:t>
            </w:r>
          </w:p>
        </w:tc>
        <w:tc>
          <w:tcPr>
            <w:tcW w:w="0" w:type="auto"/>
            <w:vAlign w:val="top"/>
          </w:tcPr>
          <w:p w14:paraId="4339C250" w14:textId="1829F0B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65%</w:t>
            </w:r>
          </w:p>
        </w:tc>
      </w:tr>
      <w:tr w:rsidR="005321A3" w:rsidRPr="00D42547" w14:paraId="02865EA8" w14:textId="0EA55D4A"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67865F8E" w14:textId="0C102392"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II_23</w:t>
            </w:r>
          </w:p>
        </w:tc>
        <w:tc>
          <w:tcPr>
            <w:tcW w:w="1686" w:type="dxa"/>
            <w:vAlign w:val="top"/>
          </w:tcPr>
          <w:p w14:paraId="290CB7FC" w14:textId="7EA26E0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Mountains</w:t>
            </w:r>
          </w:p>
        </w:tc>
        <w:tc>
          <w:tcPr>
            <w:tcW w:w="0" w:type="auto"/>
            <w:vAlign w:val="top"/>
          </w:tcPr>
          <w:p w14:paraId="67FAF983" w14:textId="55BCF76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14</w:t>
            </w:r>
          </w:p>
        </w:tc>
        <w:tc>
          <w:tcPr>
            <w:tcW w:w="0" w:type="auto"/>
            <w:vAlign w:val="top"/>
          </w:tcPr>
          <w:p w14:paraId="224314EC" w14:textId="4D6CD47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518</w:t>
            </w:r>
          </w:p>
        </w:tc>
        <w:tc>
          <w:tcPr>
            <w:tcW w:w="0" w:type="auto"/>
            <w:vAlign w:val="top"/>
          </w:tcPr>
          <w:p w14:paraId="1490AE12" w14:textId="6116310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532</w:t>
            </w:r>
          </w:p>
        </w:tc>
        <w:tc>
          <w:tcPr>
            <w:tcW w:w="0" w:type="auto"/>
            <w:vAlign w:val="top"/>
          </w:tcPr>
          <w:p w14:paraId="07AED3C6" w14:textId="2B634C9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103%</w:t>
            </w:r>
          </w:p>
        </w:tc>
        <w:tc>
          <w:tcPr>
            <w:tcW w:w="0" w:type="auto"/>
            <w:vAlign w:val="top"/>
          </w:tcPr>
          <w:p w14:paraId="48F4A4E3" w14:textId="14D3FAD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457</w:t>
            </w:r>
          </w:p>
        </w:tc>
        <w:tc>
          <w:tcPr>
            <w:tcW w:w="0" w:type="auto"/>
            <w:vAlign w:val="top"/>
          </w:tcPr>
          <w:p w14:paraId="74C2F3F8" w14:textId="35B0FB1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360</w:t>
            </w:r>
          </w:p>
        </w:tc>
        <w:tc>
          <w:tcPr>
            <w:tcW w:w="0" w:type="auto"/>
            <w:vAlign w:val="top"/>
          </w:tcPr>
          <w:p w14:paraId="78F896A7" w14:textId="1C04A4B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79%</w:t>
            </w:r>
          </w:p>
        </w:tc>
      </w:tr>
      <w:tr w:rsidR="005321A3" w:rsidRPr="00D42547" w14:paraId="5BC66AA4" w14:textId="3C1F8523"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77E9F9FE" w14:textId="62315302"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II_24</w:t>
            </w:r>
          </w:p>
        </w:tc>
        <w:tc>
          <w:tcPr>
            <w:tcW w:w="1686" w:type="dxa"/>
            <w:vAlign w:val="top"/>
          </w:tcPr>
          <w:p w14:paraId="6628707F" w14:textId="38642D1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Polar Regions</w:t>
            </w:r>
          </w:p>
        </w:tc>
        <w:tc>
          <w:tcPr>
            <w:tcW w:w="0" w:type="auto"/>
            <w:vAlign w:val="top"/>
          </w:tcPr>
          <w:p w14:paraId="3870A635" w14:textId="6320624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14</w:t>
            </w:r>
          </w:p>
        </w:tc>
        <w:tc>
          <w:tcPr>
            <w:tcW w:w="0" w:type="auto"/>
            <w:vAlign w:val="top"/>
          </w:tcPr>
          <w:p w14:paraId="54A51293" w14:textId="6C661CD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518</w:t>
            </w:r>
          </w:p>
        </w:tc>
        <w:tc>
          <w:tcPr>
            <w:tcW w:w="0" w:type="auto"/>
            <w:vAlign w:val="top"/>
          </w:tcPr>
          <w:p w14:paraId="109648F9" w14:textId="1B7DB9B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522</w:t>
            </w:r>
          </w:p>
        </w:tc>
        <w:tc>
          <w:tcPr>
            <w:tcW w:w="0" w:type="auto"/>
            <w:vAlign w:val="top"/>
          </w:tcPr>
          <w:p w14:paraId="33B43E87" w14:textId="414A3CD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101%</w:t>
            </w:r>
          </w:p>
        </w:tc>
        <w:tc>
          <w:tcPr>
            <w:tcW w:w="0" w:type="auto"/>
            <w:vAlign w:val="top"/>
          </w:tcPr>
          <w:p w14:paraId="7835A900" w14:textId="764EDBF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444</w:t>
            </w:r>
          </w:p>
        </w:tc>
        <w:tc>
          <w:tcPr>
            <w:tcW w:w="0" w:type="auto"/>
            <w:vAlign w:val="top"/>
          </w:tcPr>
          <w:p w14:paraId="29ED1262" w14:textId="619CB60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290</w:t>
            </w:r>
          </w:p>
        </w:tc>
        <w:tc>
          <w:tcPr>
            <w:tcW w:w="0" w:type="auto"/>
            <w:vAlign w:val="top"/>
          </w:tcPr>
          <w:p w14:paraId="204358B2" w14:textId="792F496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65%</w:t>
            </w:r>
          </w:p>
        </w:tc>
      </w:tr>
      <w:tr w:rsidR="005321A3" w:rsidRPr="00D42547" w14:paraId="69C0AE26" w14:textId="63ECBDC0"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65F5FC3A" w14:textId="194A4BB2"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II_25</w:t>
            </w:r>
          </w:p>
        </w:tc>
        <w:tc>
          <w:tcPr>
            <w:tcW w:w="1686" w:type="dxa"/>
            <w:vAlign w:val="top"/>
          </w:tcPr>
          <w:p w14:paraId="28DA376E" w14:textId="762241F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Tropical Forests</w:t>
            </w:r>
          </w:p>
        </w:tc>
        <w:tc>
          <w:tcPr>
            <w:tcW w:w="0" w:type="auto"/>
            <w:vAlign w:val="top"/>
          </w:tcPr>
          <w:p w14:paraId="568D4230" w14:textId="246D846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13</w:t>
            </w:r>
          </w:p>
        </w:tc>
        <w:tc>
          <w:tcPr>
            <w:tcW w:w="0" w:type="auto"/>
            <w:vAlign w:val="top"/>
          </w:tcPr>
          <w:p w14:paraId="0431135E" w14:textId="187C451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481</w:t>
            </w:r>
          </w:p>
        </w:tc>
        <w:tc>
          <w:tcPr>
            <w:tcW w:w="0" w:type="auto"/>
            <w:vAlign w:val="top"/>
          </w:tcPr>
          <w:p w14:paraId="6233B6F9" w14:textId="580C765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388</w:t>
            </w:r>
          </w:p>
        </w:tc>
        <w:tc>
          <w:tcPr>
            <w:tcW w:w="0" w:type="auto"/>
            <w:vAlign w:val="top"/>
          </w:tcPr>
          <w:p w14:paraId="5180A7D7" w14:textId="7123F17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81%</w:t>
            </w:r>
          </w:p>
        </w:tc>
        <w:tc>
          <w:tcPr>
            <w:tcW w:w="0" w:type="auto"/>
            <w:vAlign w:val="top"/>
          </w:tcPr>
          <w:p w14:paraId="7C10B10E" w14:textId="6866D82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154</w:t>
            </w:r>
          </w:p>
        </w:tc>
        <w:tc>
          <w:tcPr>
            <w:tcW w:w="0" w:type="auto"/>
            <w:vAlign w:val="top"/>
          </w:tcPr>
          <w:p w14:paraId="5119E651" w14:textId="5401331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106</w:t>
            </w:r>
          </w:p>
        </w:tc>
        <w:tc>
          <w:tcPr>
            <w:tcW w:w="0" w:type="auto"/>
            <w:vAlign w:val="top"/>
          </w:tcPr>
          <w:p w14:paraId="0C38539B" w14:textId="2620079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69%</w:t>
            </w:r>
          </w:p>
        </w:tc>
      </w:tr>
      <w:tr w:rsidR="005321A3" w:rsidRPr="00D42547" w14:paraId="1E065938" w14:textId="5943AC5B"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1FE5E011" w14:textId="5246A894"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II_26</w:t>
            </w:r>
          </w:p>
        </w:tc>
        <w:tc>
          <w:tcPr>
            <w:tcW w:w="1686" w:type="dxa"/>
            <w:vAlign w:val="top"/>
          </w:tcPr>
          <w:p w14:paraId="50D1B41B" w14:textId="45148769" w:rsidR="005321A3" w:rsidRPr="005321A3"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Annex</w:t>
            </w:r>
            <w:r w:rsidR="001C1832">
              <w:rPr>
                <w:sz w:val="18"/>
                <w:szCs w:val="18"/>
                <w:lang w:val="en-US"/>
              </w:rPr>
              <w:t xml:space="preserve"> </w:t>
            </w:r>
            <w:r w:rsidRPr="00D42547">
              <w:rPr>
                <w:sz w:val="18"/>
                <w:szCs w:val="18"/>
                <w:lang w:val="en-US"/>
              </w:rPr>
              <w:t>I_Global to Regional Atlas</w:t>
            </w:r>
          </w:p>
        </w:tc>
        <w:tc>
          <w:tcPr>
            <w:tcW w:w="0" w:type="auto"/>
            <w:vAlign w:val="top"/>
          </w:tcPr>
          <w:p w14:paraId="17F75809" w14:textId="72738AF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2</w:t>
            </w:r>
          </w:p>
        </w:tc>
        <w:tc>
          <w:tcPr>
            <w:tcW w:w="0" w:type="auto"/>
            <w:vAlign w:val="top"/>
          </w:tcPr>
          <w:p w14:paraId="06F91E26" w14:textId="55A769D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74</w:t>
            </w:r>
          </w:p>
        </w:tc>
        <w:tc>
          <w:tcPr>
            <w:tcW w:w="0" w:type="auto"/>
            <w:vAlign w:val="top"/>
          </w:tcPr>
          <w:p w14:paraId="2A583418" w14:textId="3B96C2E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ND</w:t>
            </w:r>
          </w:p>
        </w:tc>
        <w:tc>
          <w:tcPr>
            <w:tcW w:w="0" w:type="auto"/>
            <w:vAlign w:val="top"/>
          </w:tcPr>
          <w:p w14:paraId="16071FF1" w14:textId="2220464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NC</w:t>
            </w:r>
          </w:p>
        </w:tc>
        <w:tc>
          <w:tcPr>
            <w:tcW w:w="0" w:type="auto"/>
            <w:vAlign w:val="top"/>
          </w:tcPr>
          <w:p w14:paraId="6CE32707" w14:textId="37DEA6A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ND</w:t>
            </w:r>
          </w:p>
        </w:tc>
        <w:tc>
          <w:tcPr>
            <w:tcW w:w="0" w:type="auto"/>
            <w:vAlign w:val="top"/>
          </w:tcPr>
          <w:p w14:paraId="68DBDE82" w14:textId="4D11EAC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0</w:t>
            </w:r>
          </w:p>
        </w:tc>
        <w:tc>
          <w:tcPr>
            <w:tcW w:w="0" w:type="auto"/>
            <w:vAlign w:val="top"/>
          </w:tcPr>
          <w:p w14:paraId="1437FE38" w14:textId="5C29E27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NC</w:t>
            </w:r>
          </w:p>
        </w:tc>
      </w:tr>
      <w:tr w:rsidR="005321A3" w:rsidRPr="00D42547" w14:paraId="43FB8D26" w14:textId="4D75067D"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749982C5" w14:textId="7BBE2974"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II_27</w:t>
            </w:r>
          </w:p>
        </w:tc>
        <w:tc>
          <w:tcPr>
            <w:tcW w:w="1686" w:type="dxa"/>
            <w:vAlign w:val="top"/>
          </w:tcPr>
          <w:p w14:paraId="403AC012" w14:textId="1B3DD5D5"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Annex</w:t>
            </w:r>
            <w:r w:rsidR="001C1832">
              <w:rPr>
                <w:sz w:val="18"/>
                <w:szCs w:val="18"/>
              </w:rPr>
              <w:t xml:space="preserve"> </w:t>
            </w:r>
            <w:r w:rsidRPr="00D42547">
              <w:rPr>
                <w:sz w:val="18"/>
                <w:szCs w:val="18"/>
              </w:rPr>
              <w:t>II_Glossary</w:t>
            </w:r>
          </w:p>
        </w:tc>
        <w:tc>
          <w:tcPr>
            <w:tcW w:w="0" w:type="auto"/>
            <w:vAlign w:val="top"/>
          </w:tcPr>
          <w:p w14:paraId="28E739CC" w14:textId="12935E6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3</w:t>
            </w:r>
          </w:p>
        </w:tc>
        <w:tc>
          <w:tcPr>
            <w:tcW w:w="0" w:type="auto"/>
            <w:vAlign w:val="top"/>
          </w:tcPr>
          <w:p w14:paraId="49A116FC" w14:textId="3A99695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111</w:t>
            </w:r>
          </w:p>
        </w:tc>
        <w:tc>
          <w:tcPr>
            <w:tcW w:w="0" w:type="auto"/>
            <w:vAlign w:val="top"/>
          </w:tcPr>
          <w:p w14:paraId="3AA0CB2D" w14:textId="5F37125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ND</w:t>
            </w:r>
          </w:p>
        </w:tc>
        <w:tc>
          <w:tcPr>
            <w:tcW w:w="0" w:type="auto"/>
            <w:vAlign w:val="top"/>
          </w:tcPr>
          <w:p w14:paraId="28A3485B" w14:textId="4B35D94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NC</w:t>
            </w:r>
          </w:p>
        </w:tc>
        <w:tc>
          <w:tcPr>
            <w:tcW w:w="0" w:type="auto"/>
            <w:vAlign w:val="top"/>
          </w:tcPr>
          <w:p w14:paraId="7BBA5873" w14:textId="0A51093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ND</w:t>
            </w:r>
          </w:p>
        </w:tc>
        <w:tc>
          <w:tcPr>
            <w:tcW w:w="0" w:type="auto"/>
            <w:vAlign w:val="top"/>
          </w:tcPr>
          <w:p w14:paraId="335A6FD6" w14:textId="43696E1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0</w:t>
            </w:r>
          </w:p>
        </w:tc>
        <w:tc>
          <w:tcPr>
            <w:tcW w:w="0" w:type="auto"/>
            <w:vAlign w:val="top"/>
          </w:tcPr>
          <w:p w14:paraId="1D86C7AC" w14:textId="26C6DBA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NC</w:t>
            </w:r>
          </w:p>
        </w:tc>
      </w:tr>
      <w:tr w:rsidR="005321A3" w:rsidRPr="00D42547" w14:paraId="17D19B41" w14:textId="62AF87D0"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2462CF36" w14:textId="4949325D"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w:t>
            </w:r>
          </w:p>
        </w:tc>
        <w:tc>
          <w:tcPr>
            <w:tcW w:w="1686" w:type="dxa"/>
            <w:vAlign w:val="top"/>
          </w:tcPr>
          <w:p w14:paraId="7DB40D60" w14:textId="277678D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Introduction and Framing</w:t>
            </w:r>
          </w:p>
        </w:tc>
        <w:tc>
          <w:tcPr>
            <w:tcW w:w="0" w:type="auto"/>
            <w:vAlign w:val="top"/>
          </w:tcPr>
          <w:p w14:paraId="7F721601" w14:textId="2A6AF2D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19</w:t>
            </w:r>
          </w:p>
        </w:tc>
        <w:tc>
          <w:tcPr>
            <w:tcW w:w="0" w:type="auto"/>
            <w:vAlign w:val="top"/>
          </w:tcPr>
          <w:p w14:paraId="56C32790" w14:textId="63F3F45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703</w:t>
            </w:r>
          </w:p>
        </w:tc>
        <w:tc>
          <w:tcPr>
            <w:tcW w:w="0" w:type="auto"/>
            <w:vAlign w:val="top"/>
          </w:tcPr>
          <w:p w14:paraId="728B31F8" w14:textId="79A1DFA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759</w:t>
            </w:r>
          </w:p>
        </w:tc>
        <w:tc>
          <w:tcPr>
            <w:tcW w:w="0" w:type="auto"/>
            <w:vAlign w:val="top"/>
          </w:tcPr>
          <w:p w14:paraId="79A6FAAB" w14:textId="520E8E5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108%</w:t>
            </w:r>
          </w:p>
        </w:tc>
        <w:tc>
          <w:tcPr>
            <w:tcW w:w="0" w:type="auto"/>
            <w:vAlign w:val="top"/>
          </w:tcPr>
          <w:p w14:paraId="7B92A475" w14:textId="33D75E2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759</w:t>
            </w:r>
          </w:p>
        </w:tc>
        <w:tc>
          <w:tcPr>
            <w:tcW w:w="0" w:type="auto"/>
            <w:vAlign w:val="top"/>
          </w:tcPr>
          <w:p w14:paraId="56AB9536" w14:textId="3EB194B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441</w:t>
            </w:r>
          </w:p>
        </w:tc>
        <w:tc>
          <w:tcPr>
            <w:tcW w:w="0" w:type="auto"/>
            <w:vAlign w:val="top"/>
          </w:tcPr>
          <w:p w14:paraId="02FA18B9" w14:textId="61617E0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58%</w:t>
            </w:r>
          </w:p>
        </w:tc>
      </w:tr>
      <w:tr w:rsidR="005321A3" w:rsidRPr="00D42547" w14:paraId="4190B391" w14:textId="5DB19291"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5F3DBB38" w14:textId="181DF0EE"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III_2</w:t>
            </w:r>
          </w:p>
        </w:tc>
        <w:tc>
          <w:tcPr>
            <w:tcW w:w="1686" w:type="dxa"/>
            <w:vAlign w:val="top"/>
          </w:tcPr>
          <w:p w14:paraId="5E442C6F" w14:textId="070741C1" w:rsidR="005321A3" w:rsidRPr="005321A3"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Emissions Trends and Drivers+SuppMaterial</w:t>
            </w:r>
          </w:p>
        </w:tc>
        <w:tc>
          <w:tcPr>
            <w:tcW w:w="0" w:type="auto"/>
            <w:vAlign w:val="top"/>
          </w:tcPr>
          <w:p w14:paraId="78697709" w14:textId="20F137D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27</w:t>
            </w:r>
          </w:p>
        </w:tc>
        <w:tc>
          <w:tcPr>
            <w:tcW w:w="0" w:type="auto"/>
            <w:vAlign w:val="top"/>
          </w:tcPr>
          <w:p w14:paraId="010896E0" w14:textId="60F93B6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999</w:t>
            </w:r>
          </w:p>
        </w:tc>
        <w:tc>
          <w:tcPr>
            <w:tcW w:w="0" w:type="auto"/>
            <w:vAlign w:val="top"/>
          </w:tcPr>
          <w:p w14:paraId="76ECA94F" w14:textId="13779D1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772</w:t>
            </w:r>
          </w:p>
        </w:tc>
        <w:tc>
          <w:tcPr>
            <w:tcW w:w="0" w:type="auto"/>
            <w:vAlign w:val="top"/>
          </w:tcPr>
          <w:p w14:paraId="72A39EF7" w14:textId="6ED31E8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77%</w:t>
            </w:r>
          </w:p>
        </w:tc>
        <w:tc>
          <w:tcPr>
            <w:tcW w:w="0" w:type="auto"/>
            <w:vAlign w:val="top"/>
          </w:tcPr>
          <w:p w14:paraId="54F3C426" w14:textId="1EEDB0A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772</w:t>
            </w:r>
          </w:p>
        </w:tc>
        <w:tc>
          <w:tcPr>
            <w:tcW w:w="0" w:type="auto"/>
            <w:vAlign w:val="top"/>
          </w:tcPr>
          <w:p w14:paraId="3B25F979" w14:textId="3DA21B7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483</w:t>
            </w:r>
          </w:p>
        </w:tc>
        <w:tc>
          <w:tcPr>
            <w:tcW w:w="0" w:type="auto"/>
            <w:vAlign w:val="top"/>
          </w:tcPr>
          <w:p w14:paraId="0050A7BD" w14:textId="742BD5E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63%</w:t>
            </w:r>
          </w:p>
        </w:tc>
      </w:tr>
      <w:tr w:rsidR="005321A3" w:rsidRPr="00D42547" w14:paraId="70C5EECD" w14:textId="7E7F07EF"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67459140" w14:textId="4FB09774"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lastRenderedPageBreak/>
              <w:t>III_3</w:t>
            </w:r>
          </w:p>
        </w:tc>
        <w:tc>
          <w:tcPr>
            <w:tcW w:w="1686" w:type="dxa"/>
            <w:vAlign w:val="top"/>
          </w:tcPr>
          <w:p w14:paraId="72E225CE" w14:textId="3C72349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Mitigation Pathways Compatible with Long-term Goals</w:t>
            </w:r>
          </w:p>
        </w:tc>
        <w:tc>
          <w:tcPr>
            <w:tcW w:w="0" w:type="auto"/>
            <w:vAlign w:val="top"/>
          </w:tcPr>
          <w:p w14:paraId="68D13CB4" w14:textId="5469C77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22</w:t>
            </w:r>
          </w:p>
        </w:tc>
        <w:tc>
          <w:tcPr>
            <w:tcW w:w="0" w:type="auto"/>
            <w:vAlign w:val="top"/>
          </w:tcPr>
          <w:p w14:paraId="3E12C2BF" w14:textId="7917397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814</w:t>
            </w:r>
          </w:p>
        </w:tc>
        <w:tc>
          <w:tcPr>
            <w:tcW w:w="0" w:type="auto"/>
            <w:vAlign w:val="top"/>
          </w:tcPr>
          <w:p w14:paraId="02626D20" w14:textId="3446F55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823</w:t>
            </w:r>
          </w:p>
        </w:tc>
        <w:tc>
          <w:tcPr>
            <w:tcW w:w="0" w:type="auto"/>
            <w:vAlign w:val="top"/>
          </w:tcPr>
          <w:p w14:paraId="05CE85FE" w14:textId="213ECB6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101%</w:t>
            </w:r>
          </w:p>
        </w:tc>
        <w:tc>
          <w:tcPr>
            <w:tcW w:w="0" w:type="auto"/>
            <w:vAlign w:val="top"/>
          </w:tcPr>
          <w:p w14:paraId="2C1E0D24" w14:textId="34B309A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823</w:t>
            </w:r>
          </w:p>
        </w:tc>
        <w:tc>
          <w:tcPr>
            <w:tcW w:w="0" w:type="auto"/>
            <w:vAlign w:val="top"/>
          </w:tcPr>
          <w:p w14:paraId="39F705D5" w14:textId="0F03D9C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557</w:t>
            </w:r>
          </w:p>
        </w:tc>
        <w:tc>
          <w:tcPr>
            <w:tcW w:w="0" w:type="auto"/>
            <w:vAlign w:val="top"/>
          </w:tcPr>
          <w:p w14:paraId="6A60646B" w14:textId="50BB2F6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68%</w:t>
            </w:r>
          </w:p>
        </w:tc>
      </w:tr>
      <w:tr w:rsidR="005321A3" w:rsidRPr="00D42547" w14:paraId="70AA0850" w14:textId="3F630056"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7467315F" w14:textId="44AF116F"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III_4</w:t>
            </w:r>
          </w:p>
        </w:tc>
        <w:tc>
          <w:tcPr>
            <w:tcW w:w="1686" w:type="dxa"/>
            <w:vAlign w:val="top"/>
          </w:tcPr>
          <w:p w14:paraId="35DDEFF1" w14:textId="0457AC5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Mitigation and Development Pathways in the Near to Mid-term+Supp_Material</w:t>
            </w:r>
          </w:p>
        </w:tc>
        <w:tc>
          <w:tcPr>
            <w:tcW w:w="0" w:type="auto"/>
            <w:vAlign w:val="top"/>
          </w:tcPr>
          <w:p w14:paraId="1E4AAFB8" w14:textId="0B054EE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27</w:t>
            </w:r>
          </w:p>
        </w:tc>
        <w:tc>
          <w:tcPr>
            <w:tcW w:w="0" w:type="auto"/>
            <w:vAlign w:val="top"/>
          </w:tcPr>
          <w:p w14:paraId="3243DE0B" w14:textId="65B082F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999</w:t>
            </w:r>
          </w:p>
        </w:tc>
        <w:tc>
          <w:tcPr>
            <w:tcW w:w="0" w:type="auto"/>
            <w:vAlign w:val="top"/>
          </w:tcPr>
          <w:p w14:paraId="3ED84D67" w14:textId="010EA64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896</w:t>
            </w:r>
          </w:p>
        </w:tc>
        <w:tc>
          <w:tcPr>
            <w:tcW w:w="0" w:type="auto"/>
            <w:vAlign w:val="top"/>
          </w:tcPr>
          <w:p w14:paraId="32068214" w14:textId="2A0DECE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90%</w:t>
            </w:r>
          </w:p>
        </w:tc>
        <w:tc>
          <w:tcPr>
            <w:tcW w:w="0" w:type="auto"/>
            <w:vAlign w:val="top"/>
          </w:tcPr>
          <w:p w14:paraId="7195C6BA" w14:textId="74EE02C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895</w:t>
            </w:r>
          </w:p>
        </w:tc>
        <w:tc>
          <w:tcPr>
            <w:tcW w:w="0" w:type="auto"/>
            <w:vAlign w:val="top"/>
          </w:tcPr>
          <w:p w14:paraId="466198E8" w14:textId="21C585D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510</w:t>
            </w:r>
          </w:p>
        </w:tc>
        <w:tc>
          <w:tcPr>
            <w:tcW w:w="0" w:type="auto"/>
            <w:vAlign w:val="top"/>
          </w:tcPr>
          <w:p w14:paraId="5410CAF1" w14:textId="38166CB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57%</w:t>
            </w:r>
          </w:p>
        </w:tc>
      </w:tr>
      <w:tr w:rsidR="005321A3" w:rsidRPr="00D42547" w14:paraId="3EBB2AFC" w14:textId="44AE4A86"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460DC75E" w14:textId="0B3CB66E"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III_5</w:t>
            </w:r>
          </w:p>
        </w:tc>
        <w:tc>
          <w:tcPr>
            <w:tcW w:w="1686" w:type="dxa"/>
            <w:vAlign w:val="top"/>
          </w:tcPr>
          <w:p w14:paraId="19A646FB" w14:textId="327C582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Demand, Services and Social Aspects of Mitigation+ SuppMaterial1+SuppMaterial2</w:t>
            </w:r>
          </w:p>
        </w:tc>
        <w:tc>
          <w:tcPr>
            <w:tcW w:w="0" w:type="auto"/>
            <w:vAlign w:val="top"/>
          </w:tcPr>
          <w:p w14:paraId="1AFDB8E4" w14:textId="3F9D9E3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64</w:t>
            </w:r>
          </w:p>
        </w:tc>
        <w:tc>
          <w:tcPr>
            <w:tcW w:w="0" w:type="auto"/>
            <w:vAlign w:val="top"/>
          </w:tcPr>
          <w:p w14:paraId="12AAD507" w14:textId="1CCB855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2368</w:t>
            </w:r>
          </w:p>
        </w:tc>
        <w:tc>
          <w:tcPr>
            <w:tcW w:w="0" w:type="auto"/>
            <w:vAlign w:val="top"/>
          </w:tcPr>
          <w:p w14:paraId="40916D82" w14:textId="73461E1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1529</w:t>
            </w:r>
          </w:p>
        </w:tc>
        <w:tc>
          <w:tcPr>
            <w:tcW w:w="0" w:type="auto"/>
            <w:vAlign w:val="top"/>
          </w:tcPr>
          <w:p w14:paraId="43BAFCD8" w14:textId="63FDBC0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65%</w:t>
            </w:r>
          </w:p>
        </w:tc>
        <w:tc>
          <w:tcPr>
            <w:tcW w:w="0" w:type="auto"/>
            <w:vAlign w:val="top"/>
          </w:tcPr>
          <w:p w14:paraId="66259643" w14:textId="7AC9532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1528</w:t>
            </w:r>
          </w:p>
        </w:tc>
        <w:tc>
          <w:tcPr>
            <w:tcW w:w="0" w:type="auto"/>
            <w:vAlign w:val="top"/>
          </w:tcPr>
          <w:p w14:paraId="472A6D8B" w14:textId="31ABB8C9"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892</w:t>
            </w:r>
          </w:p>
        </w:tc>
        <w:tc>
          <w:tcPr>
            <w:tcW w:w="0" w:type="auto"/>
            <w:vAlign w:val="top"/>
          </w:tcPr>
          <w:p w14:paraId="6D6DC31B" w14:textId="4F56853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58%</w:t>
            </w:r>
          </w:p>
        </w:tc>
      </w:tr>
      <w:tr w:rsidR="005321A3" w:rsidRPr="00D42547" w14:paraId="305FF531" w14:textId="0F8001C7"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2D6CDD4A" w14:textId="332F4B0A"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III_6</w:t>
            </w:r>
          </w:p>
        </w:tc>
        <w:tc>
          <w:tcPr>
            <w:tcW w:w="1686" w:type="dxa"/>
            <w:vAlign w:val="top"/>
          </w:tcPr>
          <w:p w14:paraId="44722E42" w14:textId="674DDCD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Energy Systems</w:t>
            </w:r>
          </w:p>
        </w:tc>
        <w:tc>
          <w:tcPr>
            <w:tcW w:w="0" w:type="auto"/>
            <w:vAlign w:val="top"/>
          </w:tcPr>
          <w:p w14:paraId="6B6573AA" w14:textId="46C6260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39</w:t>
            </w:r>
          </w:p>
        </w:tc>
        <w:tc>
          <w:tcPr>
            <w:tcW w:w="0" w:type="auto"/>
            <w:vAlign w:val="top"/>
          </w:tcPr>
          <w:p w14:paraId="2E132ADC" w14:textId="3AADBDD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1443</w:t>
            </w:r>
          </w:p>
        </w:tc>
        <w:tc>
          <w:tcPr>
            <w:tcW w:w="0" w:type="auto"/>
            <w:vAlign w:val="top"/>
          </w:tcPr>
          <w:p w14:paraId="5289D195" w14:textId="18231C0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1575</w:t>
            </w:r>
          </w:p>
        </w:tc>
        <w:tc>
          <w:tcPr>
            <w:tcW w:w="0" w:type="auto"/>
            <w:vAlign w:val="top"/>
          </w:tcPr>
          <w:p w14:paraId="65A102F3" w14:textId="15F811D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109%</w:t>
            </w:r>
          </w:p>
        </w:tc>
        <w:tc>
          <w:tcPr>
            <w:tcW w:w="0" w:type="auto"/>
            <w:vAlign w:val="top"/>
          </w:tcPr>
          <w:p w14:paraId="38C8AC7E" w14:textId="236B147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1574</w:t>
            </w:r>
          </w:p>
        </w:tc>
        <w:tc>
          <w:tcPr>
            <w:tcW w:w="0" w:type="auto"/>
            <w:vAlign w:val="top"/>
          </w:tcPr>
          <w:p w14:paraId="025BC5DF" w14:textId="23DCB54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976</w:t>
            </w:r>
          </w:p>
        </w:tc>
        <w:tc>
          <w:tcPr>
            <w:tcW w:w="0" w:type="auto"/>
            <w:vAlign w:val="top"/>
          </w:tcPr>
          <w:p w14:paraId="3CD0E11F" w14:textId="4540B6A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62%</w:t>
            </w:r>
          </w:p>
        </w:tc>
      </w:tr>
      <w:tr w:rsidR="005321A3" w:rsidRPr="00D42547" w14:paraId="31A73C99" w14:textId="133BACFD"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6C4E2646" w14:textId="385E9780"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III_7</w:t>
            </w:r>
          </w:p>
        </w:tc>
        <w:tc>
          <w:tcPr>
            <w:tcW w:w="1686" w:type="dxa"/>
            <w:vAlign w:val="top"/>
          </w:tcPr>
          <w:p w14:paraId="0D1F4498" w14:textId="311E827E" w:rsidR="005321A3" w:rsidRPr="005321A3"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Agriculture, Forestry and Other Land Uses (AFOLU)</w:t>
            </w:r>
          </w:p>
        </w:tc>
        <w:tc>
          <w:tcPr>
            <w:tcW w:w="0" w:type="auto"/>
            <w:vAlign w:val="top"/>
          </w:tcPr>
          <w:p w14:paraId="039723C2" w14:textId="365814F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29</w:t>
            </w:r>
          </w:p>
        </w:tc>
        <w:tc>
          <w:tcPr>
            <w:tcW w:w="0" w:type="auto"/>
            <w:vAlign w:val="top"/>
          </w:tcPr>
          <w:p w14:paraId="58438737" w14:textId="6C29A60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1073</w:t>
            </w:r>
          </w:p>
        </w:tc>
        <w:tc>
          <w:tcPr>
            <w:tcW w:w="0" w:type="auto"/>
            <w:vAlign w:val="top"/>
          </w:tcPr>
          <w:p w14:paraId="2A95881B" w14:textId="68D0326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1112</w:t>
            </w:r>
          </w:p>
        </w:tc>
        <w:tc>
          <w:tcPr>
            <w:tcW w:w="0" w:type="auto"/>
            <w:vAlign w:val="top"/>
          </w:tcPr>
          <w:p w14:paraId="566F48A3" w14:textId="162A6B1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104%</w:t>
            </w:r>
          </w:p>
        </w:tc>
        <w:tc>
          <w:tcPr>
            <w:tcW w:w="0" w:type="auto"/>
            <w:vAlign w:val="top"/>
          </w:tcPr>
          <w:p w14:paraId="2E3B3180" w14:textId="6B5C824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1111</w:t>
            </w:r>
          </w:p>
        </w:tc>
        <w:tc>
          <w:tcPr>
            <w:tcW w:w="0" w:type="auto"/>
            <w:vAlign w:val="top"/>
          </w:tcPr>
          <w:p w14:paraId="03D53B93" w14:textId="6523892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762</w:t>
            </w:r>
          </w:p>
        </w:tc>
        <w:tc>
          <w:tcPr>
            <w:tcW w:w="0" w:type="auto"/>
            <w:vAlign w:val="top"/>
          </w:tcPr>
          <w:p w14:paraId="73683269" w14:textId="5EAB857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69%</w:t>
            </w:r>
          </w:p>
        </w:tc>
      </w:tr>
      <w:tr w:rsidR="005321A3" w:rsidRPr="00D42547" w14:paraId="47189AFF" w14:textId="4934B655"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77CC7778" w14:textId="1FE6CD50"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III_8</w:t>
            </w:r>
          </w:p>
        </w:tc>
        <w:tc>
          <w:tcPr>
            <w:tcW w:w="1686" w:type="dxa"/>
            <w:vAlign w:val="top"/>
          </w:tcPr>
          <w:p w14:paraId="7A103824" w14:textId="7A80F9C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Urban Systems and Other Settlements+ SuppMaterial1+SuppMaterial2</w:t>
            </w:r>
          </w:p>
        </w:tc>
        <w:tc>
          <w:tcPr>
            <w:tcW w:w="0" w:type="auto"/>
            <w:vAlign w:val="top"/>
          </w:tcPr>
          <w:p w14:paraId="5B46BF87" w14:textId="14D3CB1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39</w:t>
            </w:r>
          </w:p>
        </w:tc>
        <w:tc>
          <w:tcPr>
            <w:tcW w:w="0" w:type="auto"/>
            <w:vAlign w:val="top"/>
          </w:tcPr>
          <w:p w14:paraId="442E8106" w14:textId="1C22015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1443</w:t>
            </w:r>
          </w:p>
        </w:tc>
        <w:tc>
          <w:tcPr>
            <w:tcW w:w="0" w:type="auto"/>
            <w:vAlign w:val="top"/>
          </w:tcPr>
          <w:p w14:paraId="08E778AD" w14:textId="745B2AB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880</w:t>
            </w:r>
          </w:p>
        </w:tc>
        <w:tc>
          <w:tcPr>
            <w:tcW w:w="0" w:type="auto"/>
            <w:vAlign w:val="top"/>
          </w:tcPr>
          <w:p w14:paraId="76C55C9B" w14:textId="6883AF9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61%</w:t>
            </w:r>
          </w:p>
        </w:tc>
        <w:tc>
          <w:tcPr>
            <w:tcW w:w="0" w:type="auto"/>
            <w:vAlign w:val="top"/>
          </w:tcPr>
          <w:p w14:paraId="709A64C9" w14:textId="6ED870D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879</w:t>
            </w:r>
          </w:p>
        </w:tc>
        <w:tc>
          <w:tcPr>
            <w:tcW w:w="0" w:type="auto"/>
            <w:vAlign w:val="top"/>
          </w:tcPr>
          <w:p w14:paraId="06DED018" w14:textId="1F52BDD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654</w:t>
            </w:r>
          </w:p>
        </w:tc>
        <w:tc>
          <w:tcPr>
            <w:tcW w:w="0" w:type="auto"/>
            <w:vAlign w:val="top"/>
          </w:tcPr>
          <w:p w14:paraId="0643BAA4" w14:textId="752D43C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74%</w:t>
            </w:r>
          </w:p>
        </w:tc>
      </w:tr>
      <w:tr w:rsidR="005321A3" w:rsidRPr="00D42547" w14:paraId="1E14D008" w14:textId="72E44336"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15FEFDFC" w14:textId="745F384C"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III_9</w:t>
            </w:r>
          </w:p>
        </w:tc>
        <w:tc>
          <w:tcPr>
            <w:tcW w:w="1686" w:type="dxa"/>
            <w:vAlign w:val="top"/>
          </w:tcPr>
          <w:p w14:paraId="72625BC0" w14:textId="40FC527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Buildings+SuppMaterial</w:t>
            </w:r>
          </w:p>
        </w:tc>
        <w:tc>
          <w:tcPr>
            <w:tcW w:w="0" w:type="auto"/>
            <w:vAlign w:val="top"/>
          </w:tcPr>
          <w:p w14:paraId="4266BF39" w14:textId="5F9A99A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46</w:t>
            </w:r>
          </w:p>
        </w:tc>
        <w:tc>
          <w:tcPr>
            <w:tcW w:w="0" w:type="auto"/>
            <w:vAlign w:val="top"/>
          </w:tcPr>
          <w:p w14:paraId="7AC2CBE3" w14:textId="4906AD0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1702</w:t>
            </w:r>
          </w:p>
        </w:tc>
        <w:tc>
          <w:tcPr>
            <w:tcW w:w="0" w:type="auto"/>
            <w:vAlign w:val="top"/>
          </w:tcPr>
          <w:p w14:paraId="027DAE05" w14:textId="1EF4E5C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1160</w:t>
            </w:r>
          </w:p>
        </w:tc>
        <w:tc>
          <w:tcPr>
            <w:tcW w:w="0" w:type="auto"/>
            <w:vAlign w:val="top"/>
          </w:tcPr>
          <w:p w14:paraId="55E29C53" w14:textId="3420425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68%</w:t>
            </w:r>
          </w:p>
        </w:tc>
        <w:tc>
          <w:tcPr>
            <w:tcW w:w="0" w:type="auto"/>
            <w:vAlign w:val="top"/>
          </w:tcPr>
          <w:p w14:paraId="6E746DD7" w14:textId="3E29A4B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1159</w:t>
            </w:r>
          </w:p>
        </w:tc>
        <w:tc>
          <w:tcPr>
            <w:tcW w:w="0" w:type="auto"/>
            <w:vAlign w:val="top"/>
          </w:tcPr>
          <w:p w14:paraId="444ABC57" w14:textId="4449E54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760</w:t>
            </w:r>
          </w:p>
        </w:tc>
        <w:tc>
          <w:tcPr>
            <w:tcW w:w="0" w:type="auto"/>
            <w:vAlign w:val="top"/>
          </w:tcPr>
          <w:p w14:paraId="39F35711" w14:textId="648D558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66%</w:t>
            </w:r>
          </w:p>
        </w:tc>
      </w:tr>
      <w:tr w:rsidR="005321A3" w:rsidRPr="00D42547" w14:paraId="0969CDE1" w14:textId="1CA5F935"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1F7D9375" w14:textId="03FFAB55"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III_10</w:t>
            </w:r>
          </w:p>
        </w:tc>
        <w:tc>
          <w:tcPr>
            <w:tcW w:w="1686" w:type="dxa"/>
            <w:vAlign w:val="top"/>
          </w:tcPr>
          <w:p w14:paraId="2F8EAD19" w14:textId="2AF4782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Transport</w:t>
            </w:r>
          </w:p>
        </w:tc>
        <w:tc>
          <w:tcPr>
            <w:tcW w:w="0" w:type="auto"/>
            <w:vAlign w:val="top"/>
          </w:tcPr>
          <w:p w14:paraId="0F935766" w14:textId="2029F42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23</w:t>
            </w:r>
          </w:p>
        </w:tc>
        <w:tc>
          <w:tcPr>
            <w:tcW w:w="0" w:type="auto"/>
            <w:vAlign w:val="top"/>
          </w:tcPr>
          <w:p w14:paraId="228CAA31" w14:textId="0488AF5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851</w:t>
            </w:r>
          </w:p>
        </w:tc>
        <w:tc>
          <w:tcPr>
            <w:tcW w:w="0" w:type="auto"/>
            <w:vAlign w:val="top"/>
          </w:tcPr>
          <w:p w14:paraId="18C2385B" w14:textId="549EA44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882</w:t>
            </w:r>
          </w:p>
        </w:tc>
        <w:tc>
          <w:tcPr>
            <w:tcW w:w="0" w:type="auto"/>
            <w:vAlign w:val="top"/>
          </w:tcPr>
          <w:p w14:paraId="28BE0610" w14:textId="651218D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104%</w:t>
            </w:r>
          </w:p>
        </w:tc>
        <w:tc>
          <w:tcPr>
            <w:tcW w:w="0" w:type="auto"/>
            <w:vAlign w:val="top"/>
          </w:tcPr>
          <w:p w14:paraId="74E1E56F" w14:textId="3E25CF8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881</w:t>
            </w:r>
          </w:p>
        </w:tc>
        <w:tc>
          <w:tcPr>
            <w:tcW w:w="0" w:type="auto"/>
            <w:vAlign w:val="top"/>
          </w:tcPr>
          <w:p w14:paraId="77D27C58" w14:textId="61EDBE84"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488</w:t>
            </w:r>
          </w:p>
        </w:tc>
        <w:tc>
          <w:tcPr>
            <w:tcW w:w="0" w:type="auto"/>
            <w:vAlign w:val="top"/>
          </w:tcPr>
          <w:p w14:paraId="26563694" w14:textId="1D16CCD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55%</w:t>
            </w:r>
          </w:p>
        </w:tc>
      </w:tr>
      <w:tr w:rsidR="005321A3" w:rsidRPr="00D42547" w14:paraId="17833AFD" w14:textId="48DB7251"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3B0BED6E" w14:textId="025C88C4"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III_11</w:t>
            </w:r>
          </w:p>
        </w:tc>
        <w:tc>
          <w:tcPr>
            <w:tcW w:w="1686" w:type="dxa"/>
            <w:vAlign w:val="top"/>
          </w:tcPr>
          <w:p w14:paraId="53A073BF" w14:textId="7FB2FAC2"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Industry</w:t>
            </w:r>
          </w:p>
        </w:tc>
        <w:tc>
          <w:tcPr>
            <w:tcW w:w="0" w:type="auto"/>
            <w:vAlign w:val="top"/>
          </w:tcPr>
          <w:p w14:paraId="4D85379C" w14:textId="0ABAC23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19</w:t>
            </w:r>
          </w:p>
        </w:tc>
        <w:tc>
          <w:tcPr>
            <w:tcW w:w="0" w:type="auto"/>
            <w:vAlign w:val="top"/>
          </w:tcPr>
          <w:p w14:paraId="0AB3319E" w14:textId="39BA9C1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703</w:t>
            </w:r>
          </w:p>
        </w:tc>
        <w:tc>
          <w:tcPr>
            <w:tcW w:w="0" w:type="auto"/>
            <w:vAlign w:val="top"/>
          </w:tcPr>
          <w:p w14:paraId="681F5124" w14:textId="02505F3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685</w:t>
            </w:r>
          </w:p>
        </w:tc>
        <w:tc>
          <w:tcPr>
            <w:tcW w:w="0" w:type="auto"/>
            <w:vAlign w:val="top"/>
          </w:tcPr>
          <w:p w14:paraId="74B1F83A" w14:textId="606118F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97%</w:t>
            </w:r>
          </w:p>
        </w:tc>
        <w:tc>
          <w:tcPr>
            <w:tcW w:w="0" w:type="auto"/>
            <w:vAlign w:val="top"/>
          </w:tcPr>
          <w:p w14:paraId="4E62D794" w14:textId="6AE2EF5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684</w:t>
            </w:r>
          </w:p>
        </w:tc>
        <w:tc>
          <w:tcPr>
            <w:tcW w:w="0" w:type="auto"/>
            <w:vAlign w:val="top"/>
          </w:tcPr>
          <w:p w14:paraId="7A51BA62" w14:textId="78B2B31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425</w:t>
            </w:r>
          </w:p>
        </w:tc>
        <w:tc>
          <w:tcPr>
            <w:tcW w:w="0" w:type="auto"/>
            <w:vAlign w:val="top"/>
          </w:tcPr>
          <w:p w14:paraId="25BD726E" w14:textId="0EBC77A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62%</w:t>
            </w:r>
          </w:p>
        </w:tc>
      </w:tr>
      <w:tr w:rsidR="005321A3" w:rsidRPr="00D42547" w14:paraId="03A5AA03" w14:textId="44040E4A"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207AC56B" w14:textId="32F7731D"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III_12</w:t>
            </w:r>
          </w:p>
        </w:tc>
        <w:tc>
          <w:tcPr>
            <w:tcW w:w="1686" w:type="dxa"/>
            <w:vAlign w:val="top"/>
          </w:tcPr>
          <w:p w14:paraId="20F4549E" w14:textId="104AEF5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Cross-sectoral Perspectives+SuppMaterial</w:t>
            </w:r>
          </w:p>
        </w:tc>
        <w:tc>
          <w:tcPr>
            <w:tcW w:w="0" w:type="auto"/>
            <w:vAlign w:val="top"/>
          </w:tcPr>
          <w:p w14:paraId="585EF475" w14:textId="4703EB5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35</w:t>
            </w:r>
          </w:p>
        </w:tc>
        <w:tc>
          <w:tcPr>
            <w:tcW w:w="0" w:type="auto"/>
            <w:vAlign w:val="top"/>
          </w:tcPr>
          <w:p w14:paraId="4DD51C26" w14:textId="7C68242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1295</w:t>
            </w:r>
          </w:p>
        </w:tc>
        <w:tc>
          <w:tcPr>
            <w:tcW w:w="0" w:type="auto"/>
            <w:vAlign w:val="top"/>
          </w:tcPr>
          <w:p w14:paraId="28B52CDA" w14:textId="0807BC1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1225</w:t>
            </w:r>
          </w:p>
        </w:tc>
        <w:tc>
          <w:tcPr>
            <w:tcW w:w="0" w:type="auto"/>
            <w:vAlign w:val="top"/>
          </w:tcPr>
          <w:p w14:paraId="773372DC" w14:textId="2BC7683E"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95%</w:t>
            </w:r>
          </w:p>
        </w:tc>
        <w:tc>
          <w:tcPr>
            <w:tcW w:w="0" w:type="auto"/>
            <w:vAlign w:val="top"/>
          </w:tcPr>
          <w:p w14:paraId="0A27CB23" w14:textId="1A4CAF4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1224</w:t>
            </w:r>
          </w:p>
        </w:tc>
        <w:tc>
          <w:tcPr>
            <w:tcW w:w="0" w:type="auto"/>
            <w:vAlign w:val="top"/>
          </w:tcPr>
          <w:p w14:paraId="68220264" w14:textId="7A8DF4E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861</w:t>
            </w:r>
          </w:p>
        </w:tc>
        <w:tc>
          <w:tcPr>
            <w:tcW w:w="0" w:type="auto"/>
            <w:vAlign w:val="top"/>
          </w:tcPr>
          <w:p w14:paraId="6AA512EF" w14:textId="6F46C93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70%</w:t>
            </w:r>
          </w:p>
        </w:tc>
      </w:tr>
      <w:tr w:rsidR="005321A3" w:rsidRPr="00D42547" w14:paraId="2F1693CA" w14:textId="28B8F644"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0577DE28" w14:textId="5A07E3F2"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III_13</w:t>
            </w:r>
          </w:p>
        </w:tc>
        <w:tc>
          <w:tcPr>
            <w:tcW w:w="1686" w:type="dxa"/>
            <w:vAlign w:val="top"/>
          </w:tcPr>
          <w:p w14:paraId="62924652" w14:textId="25CBE698" w:rsidR="005321A3" w:rsidRPr="005321A3"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National and Sub-national Policies and Institutions</w:t>
            </w:r>
          </w:p>
        </w:tc>
        <w:tc>
          <w:tcPr>
            <w:tcW w:w="0" w:type="auto"/>
            <w:vAlign w:val="top"/>
          </w:tcPr>
          <w:p w14:paraId="20A0B4EC" w14:textId="4240955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37</w:t>
            </w:r>
          </w:p>
        </w:tc>
        <w:tc>
          <w:tcPr>
            <w:tcW w:w="0" w:type="auto"/>
            <w:vAlign w:val="top"/>
          </w:tcPr>
          <w:p w14:paraId="5049823F" w14:textId="42ADC6B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1369</w:t>
            </w:r>
          </w:p>
        </w:tc>
        <w:tc>
          <w:tcPr>
            <w:tcW w:w="0" w:type="auto"/>
            <w:vAlign w:val="top"/>
          </w:tcPr>
          <w:p w14:paraId="29D7823C" w14:textId="1BF6DA9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1392</w:t>
            </w:r>
          </w:p>
        </w:tc>
        <w:tc>
          <w:tcPr>
            <w:tcW w:w="0" w:type="auto"/>
            <w:vAlign w:val="top"/>
          </w:tcPr>
          <w:p w14:paraId="6CC2DA8A" w14:textId="682D3C1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102%</w:t>
            </w:r>
          </w:p>
        </w:tc>
        <w:tc>
          <w:tcPr>
            <w:tcW w:w="0" w:type="auto"/>
            <w:vAlign w:val="top"/>
          </w:tcPr>
          <w:p w14:paraId="06C33911" w14:textId="53FA4C5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1391</w:t>
            </w:r>
          </w:p>
        </w:tc>
        <w:tc>
          <w:tcPr>
            <w:tcW w:w="0" w:type="auto"/>
            <w:vAlign w:val="top"/>
          </w:tcPr>
          <w:p w14:paraId="56229718" w14:textId="32F89FD4"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925</w:t>
            </w:r>
          </w:p>
        </w:tc>
        <w:tc>
          <w:tcPr>
            <w:tcW w:w="0" w:type="auto"/>
            <w:vAlign w:val="top"/>
          </w:tcPr>
          <w:p w14:paraId="5ACC5BE1" w14:textId="09A2E9E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66%</w:t>
            </w:r>
          </w:p>
        </w:tc>
      </w:tr>
      <w:tr w:rsidR="005321A3" w:rsidRPr="00D42547" w14:paraId="4763F565" w14:textId="4F07EC0C"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10306B40" w14:textId="7BC0A589"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III_14</w:t>
            </w:r>
          </w:p>
        </w:tc>
        <w:tc>
          <w:tcPr>
            <w:tcW w:w="1686" w:type="dxa"/>
            <w:vAlign w:val="top"/>
          </w:tcPr>
          <w:p w14:paraId="2C8F38F0" w14:textId="1A5A2BD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International Cooperation</w:t>
            </w:r>
          </w:p>
        </w:tc>
        <w:tc>
          <w:tcPr>
            <w:tcW w:w="0" w:type="auto"/>
            <w:vAlign w:val="top"/>
          </w:tcPr>
          <w:p w14:paraId="0D881BFE" w14:textId="1FACC5A7"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28</w:t>
            </w:r>
          </w:p>
        </w:tc>
        <w:tc>
          <w:tcPr>
            <w:tcW w:w="0" w:type="auto"/>
            <w:vAlign w:val="top"/>
          </w:tcPr>
          <w:p w14:paraId="39A699B8" w14:textId="42275E7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1036</w:t>
            </w:r>
          </w:p>
        </w:tc>
        <w:tc>
          <w:tcPr>
            <w:tcW w:w="0" w:type="auto"/>
            <w:vAlign w:val="top"/>
          </w:tcPr>
          <w:p w14:paraId="7D1E2607" w14:textId="2A67C2C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1033</w:t>
            </w:r>
          </w:p>
        </w:tc>
        <w:tc>
          <w:tcPr>
            <w:tcW w:w="0" w:type="auto"/>
            <w:vAlign w:val="top"/>
          </w:tcPr>
          <w:p w14:paraId="421319C8" w14:textId="69A9415C"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100%</w:t>
            </w:r>
          </w:p>
        </w:tc>
        <w:tc>
          <w:tcPr>
            <w:tcW w:w="0" w:type="auto"/>
            <w:vAlign w:val="top"/>
          </w:tcPr>
          <w:p w14:paraId="4CE332CE" w14:textId="4E0EF5C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1032</w:t>
            </w:r>
          </w:p>
        </w:tc>
        <w:tc>
          <w:tcPr>
            <w:tcW w:w="0" w:type="auto"/>
            <w:vAlign w:val="top"/>
          </w:tcPr>
          <w:p w14:paraId="4A0F9BE9" w14:textId="0718492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568</w:t>
            </w:r>
          </w:p>
        </w:tc>
        <w:tc>
          <w:tcPr>
            <w:tcW w:w="0" w:type="auto"/>
            <w:vAlign w:val="top"/>
          </w:tcPr>
          <w:p w14:paraId="7DF767E4" w14:textId="49F3F3F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55%</w:t>
            </w:r>
          </w:p>
        </w:tc>
      </w:tr>
      <w:tr w:rsidR="005321A3" w:rsidRPr="00D42547" w14:paraId="189D2B5D" w14:textId="5F708DBF"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60C9FD74" w14:textId="289B64D1"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III_15</w:t>
            </w:r>
          </w:p>
        </w:tc>
        <w:tc>
          <w:tcPr>
            <w:tcW w:w="1686" w:type="dxa"/>
            <w:vAlign w:val="top"/>
          </w:tcPr>
          <w:p w14:paraId="400D3C35" w14:textId="105089A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Investment and Finance</w:t>
            </w:r>
          </w:p>
        </w:tc>
        <w:tc>
          <w:tcPr>
            <w:tcW w:w="0" w:type="auto"/>
            <w:vAlign w:val="top"/>
          </w:tcPr>
          <w:p w14:paraId="56CB9AC3" w14:textId="7B603AB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30</w:t>
            </w:r>
          </w:p>
        </w:tc>
        <w:tc>
          <w:tcPr>
            <w:tcW w:w="0" w:type="auto"/>
            <w:vAlign w:val="top"/>
          </w:tcPr>
          <w:p w14:paraId="5BFD1F0D" w14:textId="35BA95B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1110</w:t>
            </w:r>
          </w:p>
        </w:tc>
        <w:tc>
          <w:tcPr>
            <w:tcW w:w="0" w:type="auto"/>
            <w:vAlign w:val="top"/>
          </w:tcPr>
          <w:p w14:paraId="2634F91F" w14:textId="1D3D4F2D"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1123</w:t>
            </w:r>
          </w:p>
        </w:tc>
        <w:tc>
          <w:tcPr>
            <w:tcW w:w="0" w:type="auto"/>
            <w:vAlign w:val="top"/>
          </w:tcPr>
          <w:p w14:paraId="13C98A69" w14:textId="5413224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101%</w:t>
            </w:r>
          </w:p>
        </w:tc>
        <w:tc>
          <w:tcPr>
            <w:tcW w:w="0" w:type="auto"/>
            <w:vAlign w:val="top"/>
          </w:tcPr>
          <w:p w14:paraId="6643D9F4" w14:textId="005D97D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1123</w:t>
            </w:r>
          </w:p>
        </w:tc>
        <w:tc>
          <w:tcPr>
            <w:tcW w:w="0" w:type="auto"/>
            <w:vAlign w:val="top"/>
          </w:tcPr>
          <w:p w14:paraId="1F289E39" w14:textId="49BA4AE8"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375</w:t>
            </w:r>
          </w:p>
        </w:tc>
        <w:tc>
          <w:tcPr>
            <w:tcW w:w="0" w:type="auto"/>
            <w:vAlign w:val="top"/>
          </w:tcPr>
          <w:p w14:paraId="7BFAC328" w14:textId="2EE4568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33%</w:t>
            </w:r>
          </w:p>
        </w:tc>
      </w:tr>
      <w:tr w:rsidR="005321A3" w:rsidRPr="00D42547" w14:paraId="0E44139C" w14:textId="247CD48F"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60954901" w14:textId="6C777D11"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III_16</w:t>
            </w:r>
          </w:p>
        </w:tc>
        <w:tc>
          <w:tcPr>
            <w:tcW w:w="1686" w:type="dxa"/>
            <w:vAlign w:val="top"/>
          </w:tcPr>
          <w:p w14:paraId="5A1E8A5F" w14:textId="7CBEC959" w:rsidR="005321A3" w:rsidRPr="005321A3"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lang w:val="en-US"/>
              </w:rPr>
              <w:t>Innovation,Technology Development and Transfer</w:t>
            </w:r>
          </w:p>
        </w:tc>
        <w:tc>
          <w:tcPr>
            <w:tcW w:w="0" w:type="auto"/>
            <w:vAlign w:val="top"/>
          </w:tcPr>
          <w:p w14:paraId="60AF44A3" w14:textId="520E6FB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24</w:t>
            </w:r>
          </w:p>
        </w:tc>
        <w:tc>
          <w:tcPr>
            <w:tcW w:w="0" w:type="auto"/>
            <w:vAlign w:val="top"/>
          </w:tcPr>
          <w:p w14:paraId="3EE91128" w14:textId="0EE077FB"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888</w:t>
            </w:r>
          </w:p>
        </w:tc>
        <w:tc>
          <w:tcPr>
            <w:tcW w:w="0" w:type="auto"/>
            <w:vAlign w:val="top"/>
          </w:tcPr>
          <w:p w14:paraId="5A3DC3EC" w14:textId="7D16C8B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930</w:t>
            </w:r>
          </w:p>
        </w:tc>
        <w:tc>
          <w:tcPr>
            <w:tcW w:w="0" w:type="auto"/>
            <w:vAlign w:val="top"/>
          </w:tcPr>
          <w:p w14:paraId="46CB76B6" w14:textId="6E1F2D4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105%</w:t>
            </w:r>
          </w:p>
        </w:tc>
        <w:tc>
          <w:tcPr>
            <w:tcW w:w="0" w:type="auto"/>
            <w:vAlign w:val="top"/>
          </w:tcPr>
          <w:p w14:paraId="714AF7FD" w14:textId="489C5BD0"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928</w:t>
            </w:r>
          </w:p>
        </w:tc>
        <w:tc>
          <w:tcPr>
            <w:tcW w:w="0" w:type="auto"/>
            <w:vAlign w:val="top"/>
          </w:tcPr>
          <w:p w14:paraId="26A09B23" w14:textId="0AD890E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575</w:t>
            </w:r>
          </w:p>
        </w:tc>
        <w:tc>
          <w:tcPr>
            <w:tcW w:w="0" w:type="auto"/>
            <w:vAlign w:val="top"/>
          </w:tcPr>
          <w:p w14:paraId="63F34771" w14:textId="08D756AD"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62%</w:t>
            </w:r>
          </w:p>
        </w:tc>
      </w:tr>
      <w:tr w:rsidR="005321A3" w:rsidRPr="00D42547" w14:paraId="07C419EC" w14:textId="0D575ACA"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64B1069C" w14:textId="3F05D888"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III_17</w:t>
            </w:r>
          </w:p>
        </w:tc>
        <w:tc>
          <w:tcPr>
            <w:tcW w:w="1686" w:type="dxa"/>
            <w:vAlign w:val="top"/>
          </w:tcPr>
          <w:p w14:paraId="76577EB0" w14:textId="3E3F662D"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lang w:val="en-US"/>
              </w:rPr>
              <w:t>Accelerating the Transition in the Context of Sustainable Development</w:t>
            </w:r>
          </w:p>
        </w:tc>
        <w:tc>
          <w:tcPr>
            <w:tcW w:w="0" w:type="auto"/>
            <w:vAlign w:val="top"/>
          </w:tcPr>
          <w:p w14:paraId="15A414FC" w14:textId="54678A03"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18</w:t>
            </w:r>
          </w:p>
        </w:tc>
        <w:tc>
          <w:tcPr>
            <w:tcW w:w="0" w:type="auto"/>
            <w:vAlign w:val="top"/>
          </w:tcPr>
          <w:p w14:paraId="52C5C284" w14:textId="232666EA"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lang w:val="en-US"/>
              </w:rPr>
            </w:pPr>
            <w:r w:rsidRPr="00D42547">
              <w:rPr>
                <w:sz w:val="18"/>
                <w:szCs w:val="18"/>
              </w:rPr>
              <w:t>666</w:t>
            </w:r>
          </w:p>
        </w:tc>
        <w:tc>
          <w:tcPr>
            <w:tcW w:w="0" w:type="auto"/>
            <w:vAlign w:val="top"/>
          </w:tcPr>
          <w:p w14:paraId="387E553A" w14:textId="3D1824E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649</w:t>
            </w:r>
          </w:p>
        </w:tc>
        <w:tc>
          <w:tcPr>
            <w:tcW w:w="0" w:type="auto"/>
            <w:vAlign w:val="top"/>
          </w:tcPr>
          <w:p w14:paraId="6E851146" w14:textId="624C895C"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97%</w:t>
            </w:r>
          </w:p>
        </w:tc>
        <w:tc>
          <w:tcPr>
            <w:tcW w:w="0" w:type="auto"/>
            <w:vAlign w:val="top"/>
          </w:tcPr>
          <w:p w14:paraId="0F621F83" w14:textId="589CB2AB"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649</w:t>
            </w:r>
          </w:p>
        </w:tc>
        <w:tc>
          <w:tcPr>
            <w:tcW w:w="0" w:type="auto"/>
            <w:vAlign w:val="top"/>
          </w:tcPr>
          <w:p w14:paraId="7DBCA241" w14:textId="313BD9F7"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321</w:t>
            </w:r>
          </w:p>
        </w:tc>
        <w:tc>
          <w:tcPr>
            <w:tcW w:w="0" w:type="auto"/>
            <w:vAlign w:val="top"/>
          </w:tcPr>
          <w:p w14:paraId="6B42A95C" w14:textId="4824ED1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49%</w:t>
            </w:r>
          </w:p>
        </w:tc>
      </w:tr>
      <w:tr w:rsidR="005321A3" w:rsidRPr="00D42547" w14:paraId="6F503B46" w14:textId="6559EDA8"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09232FA8" w14:textId="5E50ADD9"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III_18</w:t>
            </w:r>
          </w:p>
        </w:tc>
        <w:tc>
          <w:tcPr>
            <w:tcW w:w="1686" w:type="dxa"/>
            <w:vAlign w:val="top"/>
          </w:tcPr>
          <w:p w14:paraId="25E7E6FF" w14:textId="4C73DC7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Annex</w:t>
            </w:r>
            <w:r w:rsidR="001C1832">
              <w:rPr>
                <w:sz w:val="18"/>
                <w:szCs w:val="18"/>
              </w:rPr>
              <w:t xml:space="preserve"> </w:t>
            </w:r>
            <w:proofErr w:type="spellStart"/>
            <w:r w:rsidRPr="00D42547">
              <w:rPr>
                <w:sz w:val="18"/>
                <w:szCs w:val="18"/>
              </w:rPr>
              <w:t>I_Glossary</w:t>
            </w:r>
            <w:proofErr w:type="spellEnd"/>
          </w:p>
        </w:tc>
        <w:tc>
          <w:tcPr>
            <w:tcW w:w="0" w:type="auto"/>
            <w:vAlign w:val="top"/>
          </w:tcPr>
          <w:p w14:paraId="4C95897F" w14:textId="1346DFF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3</w:t>
            </w:r>
          </w:p>
        </w:tc>
        <w:tc>
          <w:tcPr>
            <w:tcW w:w="0" w:type="auto"/>
            <w:vAlign w:val="top"/>
          </w:tcPr>
          <w:p w14:paraId="1FC8A435" w14:textId="210B197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D42547">
              <w:rPr>
                <w:sz w:val="18"/>
                <w:szCs w:val="18"/>
              </w:rPr>
              <w:t>111</w:t>
            </w:r>
          </w:p>
        </w:tc>
        <w:tc>
          <w:tcPr>
            <w:tcW w:w="0" w:type="auto"/>
            <w:vAlign w:val="top"/>
          </w:tcPr>
          <w:p w14:paraId="6585D236" w14:textId="2D3E674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89</w:t>
            </w:r>
          </w:p>
        </w:tc>
        <w:tc>
          <w:tcPr>
            <w:tcW w:w="0" w:type="auto"/>
            <w:vAlign w:val="top"/>
          </w:tcPr>
          <w:p w14:paraId="18F0197A" w14:textId="4E0D45B1"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80%</w:t>
            </w:r>
          </w:p>
        </w:tc>
        <w:tc>
          <w:tcPr>
            <w:tcW w:w="0" w:type="auto"/>
            <w:vAlign w:val="top"/>
          </w:tcPr>
          <w:p w14:paraId="11F5F63D" w14:textId="401D3452"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27</w:t>
            </w:r>
          </w:p>
        </w:tc>
        <w:tc>
          <w:tcPr>
            <w:tcW w:w="0" w:type="auto"/>
            <w:vAlign w:val="top"/>
          </w:tcPr>
          <w:p w14:paraId="0BC48B78" w14:textId="6025AFB8"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19</w:t>
            </w:r>
          </w:p>
        </w:tc>
        <w:tc>
          <w:tcPr>
            <w:tcW w:w="0" w:type="auto"/>
            <w:vAlign w:val="top"/>
          </w:tcPr>
          <w:p w14:paraId="45FF30A7" w14:textId="4BA82E5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70%</w:t>
            </w:r>
          </w:p>
        </w:tc>
      </w:tr>
      <w:tr w:rsidR="005321A3" w:rsidRPr="00D42547" w14:paraId="6A3F1AD5" w14:textId="20A24061" w:rsidTr="005321A3">
        <w:tc>
          <w:tcPr>
            <w:cnfStyle w:val="001000000000" w:firstRow="0" w:lastRow="0" w:firstColumn="1" w:lastColumn="0" w:oddVBand="0" w:evenVBand="0" w:oddHBand="0" w:evenHBand="0" w:firstRowFirstColumn="0" w:firstRowLastColumn="0" w:lastRowFirstColumn="0" w:lastRowLastColumn="0"/>
            <w:tcW w:w="825" w:type="dxa"/>
            <w:vAlign w:val="bottom"/>
          </w:tcPr>
          <w:p w14:paraId="73FEEB35" w14:textId="582A52DE"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III_19</w:t>
            </w:r>
          </w:p>
        </w:tc>
        <w:tc>
          <w:tcPr>
            <w:tcW w:w="1686" w:type="dxa"/>
            <w:vAlign w:val="top"/>
          </w:tcPr>
          <w:p w14:paraId="159236FC" w14:textId="375A3BA0"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Annex</w:t>
            </w:r>
            <w:r w:rsidR="001C1832">
              <w:rPr>
                <w:sz w:val="18"/>
                <w:szCs w:val="18"/>
              </w:rPr>
              <w:t xml:space="preserve"> </w:t>
            </w:r>
            <w:proofErr w:type="spellStart"/>
            <w:r w:rsidRPr="00D42547">
              <w:rPr>
                <w:sz w:val="18"/>
                <w:szCs w:val="18"/>
              </w:rPr>
              <w:t>II_Definitions</w:t>
            </w:r>
            <w:proofErr w:type="spellEnd"/>
            <w:r w:rsidRPr="00D42547">
              <w:rPr>
                <w:sz w:val="18"/>
                <w:szCs w:val="18"/>
              </w:rPr>
              <w:t xml:space="preserve">, </w:t>
            </w:r>
            <w:proofErr w:type="spellStart"/>
            <w:r w:rsidRPr="00D42547">
              <w:rPr>
                <w:sz w:val="18"/>
                <w:szCs w:val="18"/>
              </w:rPr>
              <w:t>Units</w:t>
            </w:r>
            <w:proofErr w:type="spellEnd"/>
            <w:r w:rsidRPr="00D42547">
              <w:rPr>
                <w:sz w:val="18"/>
                <w:szCs w:val="18"/>
              </w:rPr>
              <w:t xml:space="preserve"> and Conventions</w:t>
            </w:r>
          </w:p>
        </w:tc>
        <w:tc>
          <w:tcPr>
            <w:tcW w:w="0" w:type="auto"/>
            <w:vAlign w:val="top"/>
          </w:tcPr>
          <w:p w14:paraId="25541639" w14:textId="41DBD08E"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2</w:t>
            </w:r>
          </w:p>
        </w:tc>
        <w:tc>
          <w:tcPr>
            <w:tcW w:w="0" w:type="auto"/>
            <w:vAlign w:val="top"/>
          </w:tcPr>
          <w:p w14:paraId="25E556C9" w14:textId="28DC9C8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color w:val="000000"/>
                <w:sz w:val="18"/>
                <w:szCs w:val="18"/>
              </w:rPr>
            </w:pPr>
            <w:r w:rsidRPr="00D42547">
              <w:rPr>
                <w:sz w:val="18"/>
                <w:szCs w:val="18"/>
              </w:rPr>
              <w:t>74</w:t>
            </w:r>
          </w:p>
        </w:tc>
        <w:tc>
          <w:tcPr>
            <w:tcW w:w="0" w:type="auto"/>
            <w:vAlign w:val="top"/>
          </w:tcPr>
          <w:p w14:paraId="39FF6D4B" w14:textId="6E377FE6"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29</w:t>
            </w:r>
          </w:p>
        </w:tc>
        <w:tc>
          <w:tcPr>
            <w:tcW w:w="0" w:type="auto"/>
            <w:vAlign w:val="top"/>
          </w:tcPr>
          <w:p w14:paraId="52D4B881" w14:textId="62328A45"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39%</w:t>
            </w:r>
          </w:p>
        </w:tc>
        <w:tc>
          <w:tcPr>
            <w:tcW w:w="0" w:type="auto"/>
            <w:vAlign w:val="top"/>
          </w:tcPr>
          <w:p w14:paraId="2DA79F2E" w14:textId="625A0B2F"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10</w:t>
            </w:r>
          </w:p>
        </w:tc>
        <w:tc>
          <w:tcPr>
            <w:tcW w:w="0" w:type="auto"/>
            <w:vAlign w:val="top"/>
          </w:tcPr>
          <w:p w14:paraId="7A5CD816" w14:textId="20D321A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w:t>
            </w:r>
          </w:p>
        </w:tc>
        <w:tc>
          <w:tcPr>
            <w:tcW w:w="0" w:type="auto"/>
            <w:vAlign w:val="top"/>
          </w:tcPr>
          <w:p w14:paraId="0B8C7F6A" w14:textId="0E06DF81" w:rsidR="005321A3" w:rsidRPr="00D42547" w:rsidRDefault="005321A3" w:rsidP="005321A3">
            <w:pPr>
              <w:spacing w:before="0" w:after="0"/>
              <w:ind w:firstLine="0"/>
              <w:cnfStyle w:val="000000000000" w:firstRow="0" w:lastRow="0" w:firstColumn="0" w:lastColumn="0" w:oddVBand="0" w:evenVBand="0" w:oddHBand="0" w:evenHBand="0" w:firstRowFirstColumn="0" w:firstRowLastColumn="0" w:lastRowFirstColumn="0" w:lastRowLastColumn="0"/>
              <w:rPr>
                <w:sz w:val="18"/>
                <w:szCs w:val="18"/>
              </w:rPr>
            </w:pPr>
            <w:r w:rsidRPr="00D42547">
              <w:rPr>
                <w:sz w:val="18"/>
                <w:szCs w:val="18"/>
              </w:rPr>
              <w:t>80%</w:t>
            </w:r>
          </w:p>
        </w:tc>
      </w:tr>
      <w:tr w:rsidR="005321A3" w:rsidRPr="00D42547" w14:paraId="064D8FAD" w14:textId="26EAEA7A" w:rsidTr="005321A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25" w:type="dxa"/>
            <w:vAlign w:val="bottom"/>
          </w:tcPr>
          <w:p w14:paraId="11F557F7" w14:textId="6ABA0435" w:rsidR="005321A3" w:rsidRPr="00D42547" w:rsidRDefault="005321A3" w:rsidP="005321A3">
            <w:pPr>
              <w:spacing w:before="0" w:after="0"/>
              <w:ind w:firstLine="0"/>
              <w:rPr>
                <w:color w:val="000000"/>
                <w:sz w:val="18"/>
                <w:szCs w:val="18"/>
              </w:rPr>
            </w:pPr>
            <w:r w:rsidRPr="00D42547">
              <w:rPr>
                <w:rFonts w:ascii="Calibri" w:hAnsi="Calibri" w:cs="Calibri"/>
                <w:color w:val="000000"/>
                <w:sz w:val="18"/>
                <w:szCs w:val="18"/>
              </w:rPr>
              <w:t>III_20</w:t>
            </w:r>
          </w:p>
        </w:tc>
        <w:tc>
          <w:tcPr>
            <w:tcW w:w="1686" w:type="dxa"/>
            <w:vAlign w:val="top"/>
          </w:tcPr>
          <w:p w14:paraId="0C3C5881" w14:textId="664D8754" w:rsidR="005321A3" w:rsidRPr="005321A3"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lang w:val="en-US"/>
              </w:rPr>
            </w:pPr>
            <w:r w:rsidRPr="005321A3">
              <w:rPr>
                <w:sz w:val="18"/>
                <w:szCs w:val="18"/>
                <w:lang w:val="en-US"/>
              </w:rPr>
              <w:t>Annex</w:t>
            </w:r>
            <w:r w:rsidR="001C1832">
              <w:rPr>
                <w:sz w:val="18"/>
                <w:szCs w:val="18"/>
                <w:lang w:val="en-US"/>
              </w:rPr>
              <w:t xml:space="preserve"> </w:t>
            </w:r>
            <w:r w:rsidRPr="005321A3">
              <w:rPr>
                <w:sz w:val="18"/>
                <w:szCs w:val="18"/>
                <w:lang w:val="en-US"/>
              </w:rPr>
              <w:t>III_Scenarios and Modelling Methods</w:t>
            </w:r>
          </w:p>
        </w:tc>
        <w:tc>
          <w:tcPr>
            <w:tcW w:w="0" w:type="auto"/>
            <w:vAlign w:val="top"/>
          </w:tcPr>
          <w:p w14:paraId="021C0211" w14:textId="326D785A"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16</w:t>
            </w:r>
          </w:p>
        </w:tc>
        <w:tc>
          <w:tcPr>
            <w:tcW w:w="0" w:type="auto"/>
            <w:vAlign w:val="top"/>
          </w:tcPr>
          <w:p w14:paraId="0787F84E" w14:textId="2CAEECF6"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color w:val="000000"/>
                <w:sz w:val="18"/>
                <w:szCs w:val="18"/>
              </w:rPr>
            </w:pPr>
            <w:r w:rsidRPr="00D42547">
              <w:rPr>
                <w:sz w:val="18"/>
                <w:szCs w:val="18"/>
              </w:rPr>
              <w:t>592</w:t>
            </w:r>
          </w:p>
        </w:tc>
        <w:tc>
          <w:tcPr>
            <w:tcW w:w="0" w:type="auto"/>
            <w:vAlign w:val="top"/>
          </w:tcPr>
          <w:p w14:paraId="61BC2354" w14:textId="2611413F"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ND</w:t>
            </w:r>
          </w:p>
        </w:tc>
        <w:tc>
          <w:tcPr>
            <w:tcW w:w="0" w:type="auto"/>
            <w:vAlign w:val="top"/>
          </w:tcPr>
          <w:p w14:paraId="10F83AC3" w14:textId="4E471AC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NC</w:t>
            </w:r>
          </w:p>
        </w:tc>
        <w:tc>
          <w:tcPr>
            <w:tcW w:w="0" w:type="auto"/>
            <w:vAlign w:val="top"/>
          </w:tcPr>
          <w:p w14:paraId="77D842CC" w14:textId="1CFD792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ND</w:t>
            </w:r>
          </w:p>
        </w:tc>
        <w:tc>
          <w:tcPr>
            <w:tcW w:w="0" w:type="auto"/>
            <w:vAlign w:val="top"/>
          </w:tcPr>
          <w:p w14:paraId="2B44B122" w14:textId="5EBDD3A9"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sidRPr="00D42547">
              <w:rPr>
                <w:sz w:val="18"/>
                <w:szCs w:val="18"/>
              </w:rPr>
              <w:t>0</w:t>
            </w:r>
          </w:p>
        </w:tc>
        <w:tc>
          <w:tcPr>
            <w:tcW w:w="0" w:type="auto"/>
            <w:vAlign w:val="top"/>
          </w:tcPr>
          <w:p w14:paraId="1D320A63" w14:textId="2693F823" w:rsidR="005321A3" w:rsidRPr="00D42547" w:rsidRDefault="005321A3" w:rsidP="005321A3">
            <w:pPr>
              <w:spacing w:before="0" w:after="0"/>
              <w:ind w:firstLine="0"/>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NC</w:t>
            </w:r>
          </w:p>
        </w:tc>
      </w:tr>
    </w:tbl>
    <w:p w14:paraId="6D441045" w14:textId="450D8417" w:rsidR="00F17D69" w:rsidRPr="002B7C05" w:rsidRDefault="005A65A6" w:rsidP="002B7C05">
      <w:pPr>
        <w:pStyle w:val="Sourcenote"/>
      </w:pPr>
      <w:r w:rsidRPr="005A65A6">
        <w:lastRenderedPageBreak/>
        <w:t>Source : Cour des comptes d</w:t>
      </w:r>
      <w:r>
        <w:t>’après les fichiers bibliographiques (BIB) et chapitres du GIEC (PDF). ND : fichier BIB non-disponible sur l</w:t>
      </w:r>
      <w:r w:rsidR="001174EB">
        <w:t>es</w:t>
      </w:r>
      <w:r>
        <w:t xml:space="preserve"> page</w:t>
      </w:r>
      <w:r w:rsidR="001174EB">
        <w:t>s</w:t>
      </w:r>
      <w:r>
        <w:t xml:space="preserve"> web principale</w:t>
      </w:r>
      <w:r w:rsidR="001174EB">
        <w:t>s des rapports</w:t>
      </w:r>
      <w:r>
        <w:t xml:space="preserve"> (</w:t>
      </w:r>
      <w:hyperlink r:id="rId22" w:history="1">
        <w:r w:rsidRPr="003217FF">
          <w:rPr>
            <w:rStyle w:val="Lienhypertexte"/>
          </w:rPr>
          <w:t>https://www.ipcc.ch/report/ar6/wg1/</w:t>
        </w:r>
      </w:hyperlink>
      <w:r>
        <w:t xml:space="preserve"> ; </w:t>
      </w:r>
      <w:hyperlink r:id="rId23" w:history="1">
        <w:r w:rsidRPr="003217FF">
          <w:rPr>
            <w:rStyle w:val="Lienhypertexte"/>
          </w:rPr>
          <w:t>https://www.ipcc.ch/report/ar6/wg2/</w:t>
        </w:r>
      </w:hyperlink>
      <w:r>
        <w:t xml:space="preserve"> et </w:t>
      </w:r>
      <w:hyperlink r:id="rId24" w:history="1">
        <w:r w:rsidRPr="003217FF">
          <w:rPr>
            <w:rStyle w:val="Lienhypertexte"/>
          </w:rPr>
          <w:t>https://www.ipcc.ch/report/ar6/wg3</w:t>
        </w:r>
      </w:hyperlink>
      <w:r>
        <w:t>)</w:t>
      </w:r>
      <w:r>
        <w:rPr>
          <w:rStyle w:val="Appelnotedebasdep"/>
        </w:rPr>
        <w:footnoteReference w:id="7"/>
      </w:r>
      <w:r>
        <w:t xml:space="preserve">. NC : non-calculable. </w:t>
      </w:r>
    </w:p>
    <w:p w14:paraId="0702398A" w14:textId="10720E30" w:rsidR="00F17D69" w:rsidRDefault="00F17D69" w:rsidP="001B6D0C">
      <w:pPr>
        <w:rPr>
          <w:color w:val="000000"/>
        </w:rPr>
      </w:pPr>
      <w:r>
        <w:rPr>
          <w:color w:val="000000"/>
        </w:rPr>
        <w:t xml:space="preserve">La figure ci-après indique </w:t>
      </w:r>
      <w:r w:rsidR="007D0254">
        <w:rPr>
          <w:color w:val="000000"/>
        </w:rPr>
        <w:t xml:space="preserve">que </w:t>
      </w:r>
      <w:r>
        <w:rPr>
          <w:color w:val="000000"/>
        </w:rPr>
        <w:t>l</w:t>
      </w:r>
      <w:r w:rsidR="007D0254">
        <w:rPr>
          <w:color w:val="000000"/>
        </w:rPr>
        <w:t xml:space="preserve">es deux critères </w:t>
      </w:r>
      <w:r>
        <w:rPr>
          <w:color w:val="000000"/>
        </w:rPr>
        <w:t xml:space="preserve">analysés </w:t>
      </w:r>
      <w:r w:rsidR="007D0254">
        <w:rPr>
          <w:color w:val="000000"/>
        </w:rPr>
        <w:t>sont</w:t>
      </w:r>
      <w:r w:rsidR="00C87EC0">
        <w:rPr>
          <w:color w:val="000000"/>
        </w:rPr>
        <w:t xml:space="preserve"> </w:t>
      </w:r>
      <w:r w:rsidR="007D0254">
        <w:rPr>
          <w:color w:val="000000"/>
        </w:rPr>
        <w:t xml:space="preserve">liés </w:t>
      </w:r>
      <w:r w:rsidR="003C3032">
        <w:rPr>
          <w:color w:val="000000"/>
        </w:rPr>
        <w:t>par</w:t>
      </w:r>
      <w:r w:rsidR="007D0254">
        <w:rPr>
          <w:color w:val="000000"/>
        </w:rPr>
        <w:t xml:space="preserve"> une relation inverse</w:t>
      </w:r>
      <w:r w:rsidR="00AE0F82">
        <w:rPr>
          <w:color w:val="000000"/>
        </w:rPr>
        <w:t xml:space="preserve"> et que l</w:t>
      </w:r>
      <w:r w:rsidR="003C3032">
        <w:rPr>
          <w:color w:val="000000"/>
        </w:rPr>
        <w:t>es anomalies sont localisées dans la partie située en haut à</w:t>
      </w:r>
      <w:r w:rsidR="00AE0F82">
        <w:rPr>
          <w:color w:val="000000"/>
        </w:rPr>
        <w:t xml:space="preserve"> gauche</w:t>
      </w:r>
      <w:r w:rsidR="003C3032">
        <w:rPr>
          <w:color w:val="000000"/>
        </w:rPr>
        <w:t xml:space="preserve">. </w:t>
      </w:r>
      <w:r w:rsidR="001174EB">
        <w:rPr>
          <w:color w:val="000000"/>
        </w:rPr>
        <w:t xml:space="preserve">Le deuxième groupe du GIEC qui traite à titre principal des enjeux d’adaptation apparaît comme le principal groupe concerné par les anomalies. De façon concordante avec cette analyse, une page du site web du GIEC relative au deuxième groupe indique la mention suivante : </w:t>
      </w:r>
      <w:r w:rsidR="001174EB" w:rsidRPr="001174EB">
        <w:rPr>
          <w:i/>
          <w:color w:val="000000"/>
        </w:rPr>
        <w:t>«* Citation library from the Final Draft. Updated libraries will be provided as they become available</w:t>
      </w:r>
      <w:r w:rsidR="001174EB">
        <w:rPr>
          <w:color w:val="000000"/>
        </w:rPr>
        <w:t> »</w:t>
      </w:r>
      <w:r w:rsidR="001174EB">
        <w:rPr>
          <w:rStyle w:val="Appelnotedebasdep"/>
          <w:color w:val="000000"/>
        </w:rPr>
        <w:footnoteReference w:id="8"/>
      </w:r>
      <w:r w:rsidR="001174EB">
        <w:rPr>
          <w:color w:val="000000"/>
        </w:rPr>
        <w:t>. Cette mention n’existe pas pour les pages relatives aux deux autres groupes.</w:t>
      </w:r>
    </w:p>
    <w:p w14:paraId="2C672118" w14:textId="77777777" w:rsidR="00F17D69" w:rsidRDefault="00F17D69" w:rsidP="00F17D69">
      <w:pPr>
        <w:pStyle w:val="Titregraphique"/>
      </w:pPr>
      <w:r>
        <w:t> Analyse de concordance des fichiers de citations (BIB) du GIEC en regard des citations tirées des chapitres « physiques » (PDF) correspondants.</w:t>
      </w:r>
    </w:p>
    <w:p w14:paraId="0B6D4FDE" w14:textId="77777777" w:rsidR="00F17D69" w:rsidRDefault="00F17D69" w:rsidP="00F17D69">
      <w:pPr>
        <w:rPr>
          <w:color w:val="000000"/>
        </w:rPr>
      </w:pPr>
      <w:r>
        <w:rPr>
          <w:noProof/>
        </w:rPr>
        <w:drawing>
          <wp:inline distT="0" distB="0" distL="0" distR="0" wp14:anchorId="6A75BF66" wp14:editId="423C9BC6">
            <wp:extent cx="5759450" cy="2728595"/>
            <wp:effectExtent l="0" t="0" r="12700" b="14605"/>
            <wp:docPr id="3" name="Graphique 3">
              <a:extLst xmlns:a="http://schemas.openxmlformats.org/drawingml/2006/main">
                <a:ext uri="{FF2B5EF4-FFF2-40B4-BE49-F238E27FC236}">
                  <a16:creationId xmlns:a16="http://schemas.microsoft.com/office/drawing/2014/main" id="{800D67CC-9B7A-4214-BB44-8656DFAF3F6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B9DA953" w14:textId="77777777" w:rsidR="00F17D69" w:rsidRDefault="00F17D69" w:rsidP="00F17D69">
      <w:pPr>
        <w:pStyle w:val="Sourcenote"/>
      </w:pPr>
      <w:r>
        <w:t xml:space="preserve">Source : analyse Cour des comptes par rapprochement des BIB et PDF du GIEC. </w:t>
      </w:r>
    </w:p>
    <w:p w14:paraId="656BBAD9" w14:textId="05053F4A" w:rsidR="00F17D69" w:rsidRPr="00F17D69" w:rsidRDefault="006230FF" w:rsidP="001B6D0C">
      <w:r>
        <w:t xml:space="preserve">Ce phénomène est susceptible de s’expliquer par des erreurs dans le paramétrage de logiciels bibliographiques </w:t>
      </w:r>
      <w:r w:rsidR="007D0254">
        <w:t xml:space="preserve">couramment </w:t>
      </w:r>
      <w:r>
        <w:t xml:space="preserve">employés par les scientifiques pour </w:t>
      </w:r>
      <w:r w:rsidR="007D0254">
        <w:t>leurs publications</w:t>
      </w:r>
      <w:r w:rsidR="00AE0F82">
        <w:rPr>
          <w:rStyle w:val="Appelnotedebasdep"/>
        </w:rPr>
        <w:footnoteReference w:id="9"/>
      </w:r>
      <w:r w:rsidR="00F17D69">
        <w:t xml:space="preserve">. </w:t>
      </w:r>
    </w:p>
    <w:p w14:paraId="570F3DD3" w14:textId="7A2E19DB" w:rsidR="001B6D0C" w:rsidRPr="007D0254" w:rsidRDefault="001B6D0C" w:rsidP="001B6D0C">
      <w:r>
        <w:rPr>
          <w:color w:val="000000"/>
        </w:rPr>
        <w:lastRenderedPageBreak/>
        <w:t> </w:t>
      </w:r>
      <w:r w:rsidR="003C3032">
        <w:rPr>
          <w:color w:val="000000"/>
        </w:rPr>
        <w:t xml:space="preserve">Les citations harmonisées pour l’ensemble des trois groupes du GIEC sont obtenues en appliquant les étapes ci-dessous : </w:t>
      </w:r>
    </w:p>
    <w:p w14:paraId="331CC4AE" w14:textId="1437119E" w:rsidR="001B6D0C" w:rsidRDefault="001B6D0C" w:rsidP="003C3032">
      <w:pPr>
        <w:pStyle w:val="Listepuces2"/>
      </w:pPr>
      <w:r>
        <w:rPr>
          <w:rFonts w:cs="Times New Roman"/>
          <w:sz w:val="14"/>
          <w:szCs w:val="14"/>
        </w:rPr>
        <w:t xml:space="preserve"> </w:t>
      </w:r>
      <w:r>
        <w:t xml:space="preserve">Dans la plupart des cas pour les chapitres des trois groupes - et c’est systématiquement le cas pour le </w:t>
      </w:r>
      <w:r w:rsidR="003C3032">
        <w:t xml:space="preserve">premier </w:t>
      </w:r>
      <w:r>
        <w:t>groupe</w:t>
      </w:r>
      <w:r w:rsidR="003C3032">
        <w:t xml:space="preserve"> du GIEC </w:t>
      </w:r>
      <w:r>
        <w:t xml:space="preserve">- il y a une bonne concordance entre les deux </w:t>
      </w:r>
      <w:r w:rsidR="003C3032">
        <w:t>sources</w:t>
      </w:r>
      <w:r>
        <w:t xml:space="preserve">. Dans ce cas </w:t>
      </w:r>
      <w:r w:rsidR="003C3032">
        <w:t>les</w:t>
      </w:r>
      <w:r>
        <w:t xml:space="preserve"> fichiers BIB</w:t>
      </w:r>
      <w:r w:rsidR="003C3032">
        <w:t xml:space="preserve"> ont été privilégiés</w:t>
      </w:r>
      <w:r>
        <w:t xml:space="preserve"> ; </w:t>
      </w:r>
    </w:p>
    <w:p w14:paraId="71B202ED" w14:textId="3D0DED89" w:rsidR="001B6D0C" w:rsidRDefault="001B6D0C" w:rsidP="003C3032">
      <w:pPr>
        <w:pStyle w:val="Listepuces2"/>
      </w:pPr>
      <w:r>
        <w:t>Certains fichiers BIB n’existent pa</w:t>
      </w:r>
      <w:r w:rsidR="00AE0F82">
        <w:t>s,</w:t>
      </w:r>
      <w:r>
        <w:t xml:space="preserve"> pour certaines annexes notamment. Dans ce cas </w:t>
      </w:r>
      <w:r w:rsidR="00AE0F82">
        <w:t>la Cour s’est fondée sur les</w:t>
      </w:r>
      <w:r>
        <w:t xml:space="preserve"> DOI récupérés dans les PDF de façon automatisée. Cette étape n’est évidemment pas parfaite car une part des DOI n’est pas reconnue par cette méthode</w:t>
      </w:r>
      <w:r w:rsidR="00AE0F82">
        <w:t xml:space="preserve">, avec une </w:t>
      </w:r>
      <w:r>
        <w:t xml:space="preserve">perte observée de l’ordre de 30 % des DOI ; </w:t>
      </w:r>
    </w:p>
    <w:p w14:paraId="55273562" w14:textId="46EC4EBC" w:rsidR="001B6D0C" w:rsidRDefault="001B6D0C" w:rsidP="003C3032">
      <w:pPr>
        <w:pStyle w:val="Listepuces2"/>
      </w:pPr>
      <w:r>
        <w:t xml:space="preserve">Dans certains cas, pour certains chapitres du </w:t>
      </w:r>
      <w:r w:rsidR="00AE0F82">
        <w:t xml:space="preserve">deuxième </w:t>
      </w:r>
      <w:r>
        <w:t xml:space="preserve">groupe et dans une moindre mesure du </w:t>
      </w:r>
      <w:r w:rsidR="00AE0F82">
        <w:t xml:space="preserve">troisième </w:t>
      </w:r>
      <w:r>
        <w:t xml:space="preserve">groupe, </w:t>
      </w:r>
      <w:r w:rsidR="00AE0F82">
        <w:t xml:space="preserve">on observe </w:t>
      </w:r>
      <w:r>
        <w:t>des discordances, parfois importantes, entre les deux approches. Certains fichiers BIB vont visiblement bien au-delà des citations de certains chapitres PDF</w:t>
      </w:r>
      <w:r w:rsidR="00AE0F82">
        <w:t xml:space="preserve"> (voir par exemple le chapitre « II_19 » consacré au thème « </w:t>
      </w:r>
      <w:r w:rsidR="00AE0F82" w:rsidRPr="00AE0F82">
        <w:rPr>
          <w:i/>
        </w:rPr>
        <w:t>biodiversity hotspost</w:t>
      </w:r>
      <w:r w:rsidR="00AE0F82">
        <w:t> »)</w:t>
      </w:r>
      <w:r>
        <w:t>. Dans ce cas de figure</w:t>
      </w:r>
      <w:r w:rsidR="00C87EC0">
        <w:t>,</w:t>
      </w:r>
      <w:r>
        <w:t xml:space="preserve"> les DOI </w:t>
      </w:r>
      <w:r w:rsidR="00C87EC0">
        <w:t>de</w:t>
      </w:r>
      <w:r>
        <w:t xml:space="preserve"> l’intersection </w:t>
      </w:r>
      <w:r w:rsidR="00C87EC0">
        <w:t xml:space="preserve">mathématique </w:t>
      </w:r>
      <w:r>
        <w:t>ent</w:t>
      </w:r>
      <w:r w:rsidR="00C87EC0">
        <w:t xml:space="preserve">re le fichier </w:t>
      </w:r>
      <w:r>
        <w:t xml:space="preserve">BIB </w:t>
      </w:r>
      <w:r w:rsidR="00C87EC0">
        <w:t xml:space="preserve">du chapitre </w:t>
      </w:r>
      <w:r>
        <w:t xml:space="preserve">et les DOI </w:t>
      </w:r>
      <w:r w:rsidR="00C87EC0">
        <w:t>tirés du</w:t>
      </w:r>
      <w:r>
        <w:t xml:space="preserve"> .PDF </w:t>
      </w:r>
      <w:r w:rsidR="00C87EC0">
        <w:t xml:space="preserve">correspondant ont été retenus </w:t>
      </w:r>
      <w:r>
        <w:t>;</w:t>
      </w:r>
    </w:p>
    <w:p w14:paraId="5C37D108" w14:textId="091FDC38" w:rsidR="001B6D0C" w:rsidRDefault="002C0EA2" w:rsidP="003C3032">
      <w:pPr>
        <w:pStyle w:val="Listepuces2"/>
      </w:pPr>
      <w:r>
        <w:t>À</w:t>
      </w:r>
      <w:r w:rsidR="001B6D0C">
        <w:t xml:space="preserve"> l’inverse, comme dans certains chapitres du </w:t>
      </w:r>
      <w:r w:rsidR="00C87EC0">
        <w:t xml:space="preserve">troisième </w:t>
      </w:r>
      <w:r w:rsidR="001B6D0C">
        <w:t xml:space="preserve">groupe, certains fichiers BIB semblent moins « couvrants » que les PDF (voir </w:t>
      </w:r>
      <w:r w:rsidR="00C87EC0">
        <w:t xml:space="preserve">par exemple </w:t>
      </w:r>
      <w:r w:rsidR="001B6D0C">
        <w:t>le chapitre III_8</w:t>
      </w:r>
      <w:r w:rsidR="00C87EC0">
        <w:t> : « </w:t>
      </w:r>
      <w:r w:rsidR="000100C9">
        <w:rPr>
          <w:i/>
        </w:rPr>
        <w:t>u</w:t>
      </w:r>
      <w:r w:rsidR="00C87EC0" w:rsidRPr="00C87EC0">
        <w:rPr>
          <w:i/>
        </w:rPr>
        <w:t xml:space="preserve">rban </w:t>
      </w:r>
      <w:r w:rsidR="000100C9">
        <w:rPr>
          <w:i/>
        </w:rPr>
        <w:t>s</w:t>
      </w:r>
      <w:r w:rsidR="00C87EC0" w:rsidRPr="00C87EC0">
        <w:rPr>
          <w:i/>
        </w:rPr>
        <w:t xml:space="preserve">ystems and </w:t>
      </w:r>
      <w:r w:rsidR="000100C9">
        <w:rPr>
          <w:i/>
        </w:rPr>
        <w:t>o</w:t>
      </w:r>
      <w:r w:rsidR="00C87EC0" w:rsidRPr="00C87EC0">
        <w:rPr>
          <w:i/>
        </w:rPr>
        <w:t xml:space="preserve">ther </w:t>
      </w:r>
      <w:r w:rsidR="000100C9">
        <w:rPr>
          <w:i/>
        </w:rPr>
        <w:t>s</w:t>
      </w:r>
      <w:r w:rsidR="00C87EC0" w:rsidRPr="00C87EC0">
        <w:rPr>
          <w:i/>
        </w:rPr>
        <w:t>ettlements</w:t>
      </w:r>
      <w:r w:rsidR="00C87EC0">
        <w:t> »</w:t>
      </w:r>
      <w:r w:rsidR="001B6D0C">
        <w:t xml:space="preserve">). </w:t>
      </w:r>
      <w:r w:rsidR="00C87EC0">
        <w:t>L</w:t>
      </w:r>
      <w:r w:rsidR="001B6D0C">
        <w:t xml:space="preserve">’explication </w:t>
      </w:r>
      <w:r w:rsidR="00C87EC0">
        <w:t xml:space="preserve">de la discordance </w:t>
      </w:r>
      <w:r w:rsidR="001B6D0C">
        <w:t>pourrait résider dans la non</w:t>
      </w:r>
      <w:r w:rsidR="00C87EC0">
        <w:t>-</w:t>
      </w:r>
      <w:r w:rsidR="001B6D0C">
        <w:t>prise en compte des références par les fichiers BIB des références des « </w:t>
      </w:r>
      <w:r w:rsidR="001B6D0C" w:rsidRPr="00C87EC0">
        <w:rPr>
          <w:i/>
        </w:rPr>
        <w:t>supplementary materials</w:t>
      </w:r>
      <w:r w:rsidR="001B6D0C">
        <w:t xml:space="preserve"> ». </w:t>
      </w:r>
      <w:r w:rsidR="00C87EC0">
        <w:t>Les</w:t>
      </w:r>
      <w:r w:rsidR="001B6D0C">
        <w:t xml:space="preserve"> fichiers .BIB</w:t>
      </w:r>
      <w:r w:rsidR="00C87EC0">
        <w:rPr>
          <w:rStyle w:val="Appelnotedebasdep"/>
        </w:rPr>
        <w:footnoteReference w:id="10"/>
      </w:r>
      <w:r w:rsidR="001B6D0C">
        <w:t xml:space="preserve"> </w:t>
      </w:r>
      <w:r w:rsidR="00C87EC0">
        <w:t xml:space="preserve">ont dans ce cas été pris </w:t>
      </w:r>
      <w:r w:rsidR="001B6D0C">
        <w:t>comme référence.;</w:t>
      </w:r>
    </w:p>
    <w:p w14:paraId="159B52FA" w14:textId="418ED90A" w:rsidR="001B6D0C" w:rsidRPr="00C87EC0" w:rsidRDefault="001B6D0C" w:rsidP="001B6D0C">
      <w:pPr>
        <w:pStyle w:val="Listepuces2"/>
      </w:pPr>
      <w:r>
        <w:t>Il y a enfin deux cas particuliers (chapitres « II_1 » et « II_6 ») où les PDF ne comportent presque pas de DOI. Dans ce cas les fichiers BIB</w:t>
      </w:r>
      <w:r w:rsidR="00C87EC0">
        <w:t xml:space="preserve"> ont été employés</w:t>
      </w:r>
      <w:r>
        <w:t>, après avoir contrôlé visuellement l’adéquation entre les références du fichier et les citations des chapitres concernés.</w:t>
      </w:r>
    </w:p>
    <w:p w14:paraId="1543713F" w14:textId="6913A56A" w:rsidR="00673D06" w:rsidRPr="00C87EC0" w:rsidRDefault="001B6D0C">
      <w:pPr>
        <w:rPr>
          <w:color w:val="000000"/>
        </w:rPr>
      </w:pPr>
      <w:r>
        <w:rPr>
          <w:color w:val="000000"/>
        </w:rPr>
        <w:t xml:space="preserve">Au total, </w:t>
      </w:r>
      <w:r w:rsidR="00C87EC0">
        <w:rPr>
          <w:color w:val="000000"/>
        </w:rPr>
        <w:t>la Cour a préférentiellement employé les</w:t>
      </w:r>
      <w:r>
        <w:rPr>
          <w:color w:val="000000"/>
        </w:rPr>
        <w:t xml:space="preserve"> fichiers BIB </w:t>
      </w:r>
      <w:r w:rsidR="00C87EC0">
        <w:rPr>
          <w:color w:val="000000"/>
        </w:rPr>
        <w:t xml:space="preserve">du GIEC, </w:t>
      </w:r>
      <w:r>
        <w:rPr>
          <w:color w:val="000000"/>
        </w:rPr>
        <w:t xml:space="preserve">mais pour éviter les risques de faux positifs potentiels, l’intersection entre les </w:t>
      </w:r>
      <w:r w:rsidR="00C87EC0">
        <w:rPr>
          <w:color w:val="000000"/>
        </w:rPr>
        <w:t xml:space="preserve">DOI des </w:t>
      </w:r>
      <w:r>
        <w:rPr>
          <w:color w:val="000000"/>
        </w:rPr>
        <w:t xml:space="preserve">fichiers BIB et les </w:t>
      </w:r>
      <w:r w:rsidR="00C87EC0">
        <w:rPr>
          <w:color w:val="000000"/>
        </w:rPr>
        <w:t xml:space="preserve">DOI tirés des </w:t>
      </w:r>
      <w:r>
        <w:rPr>
          <w:color w:val="000000"/>
        </w:rPr>
        <w:t xml:space="preserve">PDF des chapitres concernés </w:t>
      </w:r>
      <w:r w:rsidR="00C87EC0">
        <w:rPr>
          <w:color w:val="000000"/>
        </w:rPr>
        <w:t>a été employée</w:t>
      </w:r>
      <w:r w:rsidR="00D256A1">
        <w:rPr>
          <w:color w:val="000000"/>
        </w:rPr>
        <w:t xml:space="preserve"> dans les cas où</w:t>
      </w:r>
      <w:r w:rsidR="00C87EC0">
        <w:rPr>
          <w:color w:val="000000"/>
        </w:rPr>
        <w:t xml:space="preserve"> </w:t>
      </w:r>
      <w:r>
        <w:rPr>
          <w:color w:val="000000"/>
        </w:rPr>
        <w:t xml:space="preserve">le critère d’échelle </w:t>
      </w:r>
      <w:r w:rsidR="00D256A1">
        <w:rPr>
          <w:color w:val="000000"/>
        </w:rPr>
        <w:t>excédait</w:t>
      </w:r>
      <w:r>
        <w:rPr>
          <w:color w:val="000000"/>
        </w:rPr>
        <w:t xml:space="preserve"> 120 % et le critère ensembliste </w:t>
      </w:r>
      <w:r w:rsidR="00D256A1">
        <w:rPr>
          <w:color w:val="000000"/>
        </w:rPr>
        <w:t>plafonnait sous la barre des</w:t>
      </w:r>
      <w:r>
        <w:rPr>
          <w:color w:val="000000"/>
        </w:rPr>
        <w:t xml:space="preserve"> 50 %. </w:t>
      </w:r>
      <w:r w:rsidR="00C87EC0">
        <w:rPr>
          <w:color w:val="000000"/>
        </w:rPr>
        <w:t>Les</w:t>
      </w:r>
      <w:r>
        <w:rPr>
          <w:color w:val="000000"/>
        </w:rPr>
        <w:t xml:space="preserve"> DOI des .PDF seuls</w:t>
      </w:r>
      <w:r w:rsidR="00C87EC0">
        <w:rPr>
          <w:color w:val="000000"/>
        </w:rPr>
        <w:t xml:space="preserve"> ont été employé</w:t>
      </w:r>
      <w:r w:rsidR="00D256A1">
        <w:rPr>
          <w:color w:val="000000"/>
        </w:rPr>
        <w:t>s</w:t>
      </w:r>
      <w:r>
        <w:rPr>
          <w:color w:val="000000"/>
        </w:rPr>
        <w:t xml:space="preserve"> lorsqu’il n’y a</w:t>
      </w:r>
      <w:r w:rsidR="00C87EC0">
        <w:rPr>
          <w:color w:val="000000"/>
        </w:rPr>
        <w:t>vait</w:t>
      </w:r>
      <w:r>
        <w:rPr>
          <w:color w:val="000000"/>
        </w:rPr>
        <w:t xml:space="preserve"> pas d’alternative identifiée. </w:t>
      </w:r>
    </w:p>
    <w:p w14:paraId="046043B1" w14:textId="0DC17B77" w:rsidR="00B51C12" w:rsidRPr="00690100" w:rsidRDefault="000100C9" w:rsidP="00B51C12">
      <w:pPr>
        <w:rPr>
          <w:u w:val="single"/>
        </w:rPr>
      </w:pPr>
      <w:r>
        <w:rPr>
          <w:u w:val="single"/>
        </w:rPr>
        <w:br w:type="page"/>
      </w:r>
      <w:r w:rsidR="00B51C12">
        <w:rPr>
          <w:u w:val="single"/>
        </w:rPr>
        <w:lastRenderedPageBreak/>
        <w:t>Correspondance proposée entre les chapitres du GIEC et les secteurs, territoires et zones géographiques retracés dans le rapport</w:t>
      </w:r>
    </w:p>
    <w:p w14:paraId="6A2ECEAB" w14:textId="76DA0B52" w:rsidR="000100C9" w:rsidRDefault="000100C9">
      <w:pPr>
        <w:spacing w:before="0" w:after="200" w:line="276" w:lineRule="auto"/>
        <w:ind w:firstLine="0"/>
        <w:jc w:val="left"/>
        <w:rPr>
          <w:u w:val="single"/>
        </w:rPr>
      </w:pPr>
    </w:p>
    <w:tbl>
      <w:tblPr>
        <w:tblStyle w:val="Grilledutableau"/>
        <w:tblW w:w="0" w:type="auto"/>
        <w:tblLook w:val="04A0" w:firstRow="1" w:lastRow="0" w:firstColumn="1" w:lastColumn="0" w:noHBand="0" w:noVBand="1"/>
      </w:tblPr>
      <w:tblGrid>
        <w:gridCol w:w="2982"/>
        <w:gridCol w:w="2980"/>
        <w:gridCol w:w="2979"/>
      </w:tblGrid>
      <w:tr w:rsidR="00F13C8A" w14:paraId="5EF94639" w14:textId="77777777" w:rsidTr="00F13C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756B27B6" w14:textId="78A891A0" w:rsidR="00F13C8A" w:rsidRPr="00F13C8A" w:rsidRDefault="00F13C8A" w:rsidP="00F13C8A">
            <w:pPr>
              <w:spacing w:before="0" w:after="0" w:line="276" w:lineRule="auto"/>
              <w:ind w:firstLine="0"/>
              <w:jc w:val="center"/>
              <w:rPr>
                <w:rFonts w:asciiTheme="majorHAnsi" w:hAnsiTheme="majorHAnsi" w:cstheme="majorHAnsi"/>
                <w:color w:val="FFFFFF" w:themeColor="background1"/>
                <w:sz w:val="18"/>
                <w:szCs w:val="18"/>
                <w:u w:val="single"/>
              </w:rPr>
            </w:pPr>
            <w:r w:rsidRPr="00F13C8A">
              <w:rPr>
                <w:rFonts w:asciiTheme="majorHAnsi" w:hAnsiTheme="majorHAnsi" w:cstheme="majorHAnsi"/>
                <w:bCs/>
                <w:color w:val="FFFFFF" w:themeColor="background1"/>
                <w:sz w:val="18"/>
                <w:szCs w:val="18"/>
              </w:rPr>
              <w:t>Code et nom du chapitre</w:t>
            </w:r>
          </w:p>
        </w:tc>
        <w:tc>
          <w:tcPr>
            <w:tcW w:w="2982" w:type="dxa"/>
          </w:tcPr>
          <w:p w14:paraId="2ADF755E" w14:textId="7A483152" w:rsidR="00F13C8A" w:rsidRPr="00F13C8A" w:rsidRDefault="00F13C8A" w:rsidP="00F13C8A">
            <w:pPr>
              <w:spacing w:before="0" w:after="0" w:line="276"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FFFFFF" w:themeColor="background1"/>
                <w:sz w:val="18"/>
                <w:szCs w:val="18"/>
                <w:u w:val="single"/>
              </w:rPr>
            </w:pPr>
            <w:r w:rsidRPr="00F13C8A">
              <w:rPr>
                <w:rFonts w:asciiTheme="majorHAnsi" w:hAnsiTheme="majorHAnsi" w:cstheme="majorHAnsi"/>
                <w:bCs/>
                <w:color w:val="FFFFFF" w:themeColor="background1"/>
                <w:sz w:val="18"/>
                <w:szCs w:val="18"/>
              </w:rPr>
              <w:t>Secteur de rattachement proposé par la Cour</w:t>
            </w:r>
          </w:p>
        </w:tc>
        <w:tc>
          <w:tcPr>
            <w:tcW w:w="2982" w:type="dxa"/>
          </w:tcPr>
          <w:p w14:paraId="59A6618D" w14:textId="20CFD12A" w:rsidR="00F13C8A" w:rsidRPr="00F13C8A" w:rsidRDefault="00F13C8A" w:rsidP="00F13C8A">
            <w:pPr>
              <w:spacing w:before="0" w:after="0" w:line="276" w:lineRule="auto"/>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color w:val="FFFFFF" w:themeColor="background1"/>
                <w:sz w:val="18"/>
                <w:szCs w:val="18"/>
                <w:u w:val="single"/>
              </w:rPr>
            </w:pPr>
            <w:r w:rsidRPr="00F13C8A">
              <w:rPr>
                <w:rFonts w:asciiTheme="majorHAnsi" w:hAnsiTheme="majorHAnsi" w:cstheme="majorHAnsi"/>
                <w:bCs/>
                <w:color w:val="FFFFFF" w:themeColor="background1"/>
                <w:sz w:val="18"/>
                <w:szCs w:val="18"/>
              </w:rPr>
              <w:t>Zone géographique de rattachement proposée par la Cour</w:t>
            </w:r>
          </w:p>
        </w:tc>
      </w:tr>
      <w:tr w:rsidR="00F13C8A" w14:paraId="5E188493"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1C07D70B" w14:textId="3F5356A5"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I_1_Framing, Context, and Methods</w:t>
            </w:r>
          </w:p>
        </w:tc>
        <w:tc>
          <w:tcPr>
            <w:tcW w:w="2982" w:type="dxa"/>
          </w:tcPr>
          <w:p w14:paraId="73D18EC5" w14:textId="7B2FC1BE"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495F0A3C" w14:textId="72289300"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0DDE584"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6DA2E101" w14:textId="199C664E"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I_2_Changing State of the Climate System</w:t>
            </w:r>
          </w:p>
        </w:tc>
        <w:tc>
          <w:tcPr>
            <w:tcW w:w="2982" w:type="dxa"/>
          </w:tcPr>
          <w:p w14:paraId="1C9EC8E5" w14:textId="200D8931"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128DB177" w14:textId="4254E1E3"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61D1D53"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3BBAD723" w14:textId="4D6A8713"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I_3_Human Influence on the Climate System</w:t>
            </w:r>
          </w:p>
        </w:tc>
        <w:tc>
          <w:tcPr>
            <w:tcW w:w="2982" w:type="dxa"/>
          </w:tcPr>
          <w:p w14:paraId="09DC3FEC" w14:textId="0ACCB3EE"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18CEAEB" w14:textId="6A1F64A2"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3FA3B47D"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55FADED4" w14:textId="51649D60"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I_4_Future Global Climate : Scenario-based Projections and Near-term Information</w:t>
            </w:r>
          </w:p>
        </w:tc>
        <w:tc>
          <w:tcPr>
            <w:tcW w:w="2982" w:type="dxa"/>
          </w:tcPr>
          <w:p w14:paraId="14435797" w14:textId="1BF655C0"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7683F6E5" w14:textId="5444737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4DADA873"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064FFEA6" w14:textId="610EE928"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I_5_Global Carbon and Other Biogeochemical Cycles and Feedbacks</w:t>
            </w:r>
          </w:p>
        </w:tc>
        <w:tc>
          <w:tcPr>
            <w:tcW w:w="2982" w:type="dxa"/>
          </w:tcPr>
          <w:p w14:paraId="45E8D49C" w14:textId="14139B92"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10314841" w14:textId="4F43E311"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08D30233"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1A241E85" w14:textId="7A6AD166"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I_6_Short-lived Climate Forcers</w:t>
            </w:r>
          </w:p>
        </w:tc>
        <w:tc>
          <w:tcPr>
            <w:tcW w:w="2982" w:type="dxa"/>
          </w:tcPr>
          <w:p w14:paraId="76B38684" w14:textId="6EF0282B"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03C6A9D" w14:textId="0E41EC0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4C674FD0"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220806FE" w14:textId="1208FD33"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I_7_The Earth's Energy Budget, Climate Feedbacks and Climate Sensivity</w:t>
            </w:r>
          </w:p>
        </w:tc>
        <w:tc>
          <w:tcPr>
            <w:tcW w:w="2982" w:type="dxa"/>
          </w:tcPr>
          <w:p w14:paraId="2900F50C" w14:textId="7DE63E87"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24C59EBC" w14:textId="04F9B94F"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31A7AACB"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326DBD46" w14:textId="7B46AD57"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I_8_Water Cycle Changes</w:t>
            </w:r>
          </w:p>
        </w:tc>
        <w:tc>
          <w:tcPr>
            <w:tcW w:w="2982" w:type="dxa"/>
          </w:tcPr>
          <w:p w14:paraId="3702F0AF" w14:textId="6174D1CC"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Eau</w:t>
            </w:r>
          </w:p>
        </w:tc>
        <w:tc>
          <w:tcPr>
            <w:tcW w:w="2982" w:type="dxa"/>
          </w:tcPr>
          <w:p w14:paraId="06D843A4" w14:textId="59A16E3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1A52FF02"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084FFAC7" w14:textId="210E8F39"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I_9_Ocean, Cryosphere and Sea Level Change</w:t>
            </w:r>
          </w:p>
        </w:tc>
        <w:tc>
          <w:tcPr>
            <w:tcW w:w="2982" w:type="dxa"/>
          </w:tcPr>
          <w:p w14:paraId="7F544D46" w14:textId="4699439D"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Mer</w:t>
            </w:r>
          </w:p>
        </w:tc>
        <w:tc>
          <w:tcPr>
            <w:tcW w:w="2982" w:type="dxa"/>
          </w:tcPr>
          <w:p w14:paraId="60258458" w14:textId="00C3C9F0"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Océans</w:t>
            </w:r>
          </w:p>
        </w:tc>
      </w:tr>
      <w:tr w:rsidR="00F13C8A" w14:paraId="75A42377"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7D0DBDCC" w14:textId="38197B8F"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 xml:space="preserve">I_10_Linking Global to Regional </w:t>
            </w:r>
            <w:r w:rsidR="001C1832" w:rsidRPr="00F13C8A">
              <w:rPr>
                <w:rFonts w:asciiTheme="majorHAnsi" w:hAnsiTheme="majorHAnsi" w:cstheme="majorHAnsi"/>
                <w:color w:val="000000"/>
                <w:sz w:val="18"/>
                <w:szCs w:val="18"/>
                <w:lang w:val="en-US"/>
              </w:rPr>
              <w:t>Clima</w:t>
            </w:r>
            <w:r w:rsidR="001C1832">
              <w:rPr>
                <w:rFonts w:asciiTheme="majorHAnsi" w:hAnsiTheme="majorHAnsi" w:cstheme="majorHAnsi"/>
                <w:color w:val="000000"/>
                <w:sz w:val="18"/>
                <w:szCs w:val="18"/>
                <w:lang w:val="en-US"/>
              </w:rPr>
              <w:t>t</w:t>
            </w:r>
            <w:r w:rsidR="001C1832" w:rsidRPr="00F13C8A">
              <w:rPr>
                <w:rFonts w:asciiTheme="majorHAnsi" w:hAnsiTheme="majorHAnsi" w:cstheme="majorHAnsi"/>
                <w:color w:val="000000"/>
                <w:sz w:val="18"/>
                <w:szCs w:val="18"/>
                <w:lang w:val="en-US"/>
              </w:rPr>
              <w:t xml:space="preserve">e </w:t>
            </w:r>
            <w:r w:rsidRPr="00F13C8A">
              <w:rPr>
                <w:rFonts w:asciiTheme="majorHAnsi" w:hAnsiTheme="majorHAnsi" w:cstheme="majorHAnsi"/>
                <w:color w:val="000000"/>
                <w:sz w:val="18"/>
                <w:szCs w:val="18"/>
                <w:lang w:val="en-US"/>
              </w:rPr>
              <w:t>Change</w:t>
            </w:r>
          </w:p>
        </w:tc>
        <w:tc>
          <w:tcPr>
            <w:tcW w:w="2982" w:type="dxa"/>
          </w:tcPr>
          <w:p w14:paraId="133745A8" w14:textId="4EA9FB66"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4A77EBF6" w14:textId="6A1E5F61"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0CD5152C"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34F18A09" w14:textId="2A3DF896"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I_11_Weather and Climate Extreme Events in a Changing Climate</w:t>
            </w:r>
          </w:p>
        </w:tc>
        <w:tc>
          <w:tcPr>
            <w:tcW w:w="2982" w:type="dxa"/>
          </w:tcPr>
          <w:p w14:paraId="31495436" w14:textId="26765EFF"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5306665" w14:textId="26272193"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53B61620"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659A02B6" w14:textId="463FBC13"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I_12_Climate Change Information for Regional Impact and for Risk Assessment</w:t>
            </w:r>
          </w:p>
        </w:tc>
        <w:tc>
          <w:tcPr>
            <w:tcW w:w="2982" w:type="dxa"/>
          </w:tcPr>
          <w:p w14:paraId="6066F621" w14:textId="161EFD2C"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8FD2D0C" w14:textId="3DE33369"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5B89B3F"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0B7BB1A1" w14:textId="50382659"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I_13_Atlas</w:t>
            </w:r>
          </w:p>
        </w:tc>
        <w:tc>
          <w:tcPr>
            <w:tcW w:w="2982" w:type="dxa"/>
          </w:tcPr>
          <w:p w14:paraId="235A2576" w14:textId="1524110E"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545BEDA4" w14:textId="23AF0F11"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279BD982"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7628A496" w14:textId="0DE1D5DF"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I_14_AnnexI_Observational Products</w:t>
            </w:r>
          </w:p>
        </w:tc>
        <w:tc>
          <w:tcPr>
            <w:tcW w:w="2982" w:type="dxa"/>
          </w:tcPr>
          <w:p w14:paraId="103F137E" w14:textId="2BD6858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5EDB8C22" w14:textId="5FCE859B"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05FC646D"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20F40BF2" w14:textId="10E8702A"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I_15_AnnexII_Models</w:t>
            </w:r>
          </w:p>
        </w:tc>
        <w:tc>
          <w:tcPr>
            <w:tcW w:w="2982" w:type="dxa"/>
          </w:tcPr>
          <w:p w14:paraId="4D7B13D6" w14:textId="4023C177"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05B4D92E" w14:textId="36C1D3A3"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49D554B6"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3EA54B3E" w14:textId="44E0F326"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I_16_AnnexIII_Tables of Historical and Projected Well-mixed Greenhouse Gas Mixing Ratios</w:t>
            </w:r>
            <w:r w:rsidRPr="00F13C8A">
              <w:rPr>
                <w:rFonts w:asciiTheme="majorHAnsi" w:hAnsiTheme="majorHAnsi" w:cstheme="majorHAnsi"/>
                <w:color w:val="000000"/>
                <w:sz w:val="18"/>
                <w:szCs w:val="18"/>
                <w:lang w:val="en-US"/>
              </w:rPr>
              <w:br/>
              <w:t>and Effective Radiative Forcing of All Climate Forcers</w:t>
            </w:r>
          </w:p>
        </w:tc>
        <w:tc>
          <w:tcPr>
            <w:tcW w:w="2982" w:type="dxa"/>
          </w:tcPr>
          <w:p w14:paraId="6644525A" w14:textId="04DCD7F8"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61835D0" w14:textId="2755EC6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5126E944"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181FB664" w14:textId="265C1FAA"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I_17_AnnexIV_Modes of Variability</w:t>
            </w:r>
          </w:p>
        </w:tc>
        <w:tc>
          <w:tcPr>
            <w:tcW w:w="2982" w:type="dxa"/>
          </w:tcPr>
          <w:p w14:paraId="13A4DFDD" w14:textId="37377F38"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372CEA57" w14:textId="6718659A"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0B16696"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5CCFB17D" w14:textId="2DFEB21E"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I_18_AnnexV_Monsoons</w:t>
            </w:r>
          </w:p>
        </w:tc>
        <w:tc>
          <w:tcPr>
            <w:tcW w:w="2982" w:type="dxa"/>
          </w:tcPr>
          <w:p w14:paraId="26D8F5CF" w14:textId="1F03F554"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C5AC12A" w14:textId="75E7557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2B1C131B"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60B96BEC" w14:textId="46C731D7"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I_19_AnnexVI_Climatic Impact-driver and Extreme Indices</w:t>
            </w:r>
          </w:p>
        </w:tc>
        <w:tc>
          <w:tcPr>
            <w:tcW w:w="2982" w:type="dxa"/>
          </w:tcPr>
          <w:p w14:paraId="446E1812" w14:textId="62CFDD25"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4E9E547D" w14:textId="5B63BEB0"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48EB8F90"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6F15C886" w14:textId="1C975582"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I_20_AnnexVII_Glossary</w:t>
            </w:r>
          </w:p>
        </w:tc>
        <w:tc>
          <w:tcPr>
            <w:tcW w:w="2982" w:type="dxa"/>
          </w:tcPr>
          <w:p w14:paraId="31BAB517" w14:textId="74B82175"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2C2094C" w14:textId="56E87F69"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41E94D3C"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0FEF50D2" w14:textId="306CCD5E"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II_1_Point of Departure and Key Concepts</w:t>
            </w:r>
          </w:p>
        </w:tc>
        <w:tc>
          <w:tcPr>
            <w:tcW w:w="2982" w:type="dxa"/>
          </w:tcPr>
          <w:p w14:paraId="6AFC4308" w14:textId="590F4A0A"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AA47354" w14:textId="3A9858FF"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555C4BC"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2E44C9F8" w14:textId="019AEFAE"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II_2_Terrestrial and Freshwater Ecosystems and Their Services</w:t>
            </w:r>
          </w:p>
        </w:tc>
        <w:tc>
          <w:tcPr>
            <w:tcW w:w="2982" w:type="dxa"/>
          </w:tcPr>
          <w:p w14:paraId="2004FA66" w14:textId="62011B90"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Biodiversité</w:t>
            </w:r>
            <w:r w:rsidR="00555240">
              <w:rPr>
                <w:rFonts w:asciiTheme="majorHAnsi" w:hAnsiTheme="majorHAnsi" w:cstheme="majorHAnsi"/>
                <w:color w:val="000000"/>
                <w:sz w:val="18"/>
                <w:szCs w:val="18"/>
              </w:rPr>
              <w:t xml:space="preserve"> et services associés</w:t>
            </w:r>
          </w:p>
        </w:tc>
        <w:tc>
          <w:tcPr>
            <w:tcW w:w="2982" w:type="dxa"/>
          </w:tcPr>
          <w:p w14:paraId="7A06E395" w14:textId="2DCB5CDB"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Continents</w:t>
            </w:r>
          </w:p>
        </w:tc>
      </w:tr>
      <w:tr w:rsidR="00F13C8A" w14:paraId="279A1396"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76695901" w14:textId="6DB60E5E"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II_3_Oceans and Coastal Ecosystems and Their Services</w:t>
            </w:r>
          </w:p>
        </w:tc>
        <w:tc>
          <w:tcPr>
            <w:tcW w:w="2982" w:type="dxa"/>
          </w:tcPr>
          <w:p w14:paraId="42886D2E" w14:textId="5F8B49BD"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Biodiversité</w:t>
            </w:r>
            <w:r w:rsidR="00555240">
              <w:rPr>
                <w:rFonts w:asciiTheme="majorHAnsi" w:hAnsiTheme="majorHAnsi" w:cstheme="majorHAnsi"/>
                <w:color w:val="000000"/>
                <w:sz w:val="18"/>
                <w:szCs w:val="18"/>
              </w:rPr>
              <w:t xml:space="preserve"> et services associés</w:t>
            </w:r>
          </w:p>
        </w:tc>
        <w:tc>
          <w:tcPr>
            <w:tcW w:w="2982" w:type="dxa"/>
          </w:tcPr>
          <w:p w14:paraId="06D15442" w14:textId="7408622B"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Océans et zones littorales</w:t>
            </w:r>
          </w:p>
        </w:tc>
      </w:tr>
      <w:tr w:rsidR="00F13C8A" w14:paraId="46B80EA8"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5CEE3064" w14:textId="00AB102C"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II_4_Water</w:t>
            </w:r>
          </w:p>
        </w:tc>
        <w:tc>
          <w:tcPr>
            <w:tcW w:w="2982" w:type="dxa"/>
          </w:tcPr>
          <w:p w14:paraId="38C3506F" w14:textId="3D9827E6"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Eau</w:t>
            </w:r>
          </w:p>
        </w:tc>
        <w:tc>
          <w:tcPr>
            <w:tcW w:w="2982" w:type="dxa"/>
          </w:tcPr>
          <w:p w14:paraId="37F17F93" w14:textId="113F7A13"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659A7AD"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1E171E39" w14:textId="4B3AEFD6"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II_5_Food, Fibre and Other Ecosystem Products</w:t>
            </w:r>
          </w:p>
        </w:tc>
        <w:tc>
          <w:tcPr>
            <w:tcW w:w="2982" w:type="dxa"/>
          </w:tcPr>
          <w:p w14:paraId="77EF265A" w14:textId="7D98BD1C"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Agriculture</w:t>
            </w:r>
            <w:r w:rsidR="00555240">
              <w:rPr>
                <w:rFonts w:asciiTheme="majorHAnsi" w:hAnsiTheme="majorHAnsi" w:cstheme="majorHAnsi"/>
                <w:color w:val="000000"/>
                <w:sz w:val="18"/>
                <w:szCs w:val="18"/>
              </w:rPr>
              <w:t xml:space="preserve">, </w:t>
            </w:r>
            <w:r w:rsidRPr="00F13C8A">
              <w:rPr>
                <w:rFonts w:asciiTheme="majorHAnsi" w:hAnsiTheme="majorHAnsi" w:cstheme="majorHAnsi"/>
                <w:color w:val="000000"/>
                <w:sz w:val="18"/>
                <w:szCs w:val="18"/>
              </w:rPr>
              <w:t>sylviculture</w:t>
            </w:r>
            <w:r w:rsidR="00555240">
              <w:rPr>
                <w:rFonts w:asciiTheme="majorHAnsi" w:hAnsiTheme="majorHAnsi" w:cstheme="majorHAnsi"/>
                <w:color w:val="000000"/>
                <w:sz w:val="18"/>
                <w:szCs w:val="18"/>
              </w:rPr>
              <w:t xml:space="preserve"> et pêche</w:t>
            </w:r>
          </w:p>
        </w:tc>
        <w:tc>
          <w:tcPr>
            <w:tcW w:w="2982" w:type="dxa"/>
          </w:tcPr>
          <w:p w14:paraId="2C9F4CFF" w14:textId="0AB02490"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Zones rurales</w:t>
            </w:r>
          </w:p>
        </w:tc>
      </w:tr>
      <w:tr w:rsidR="00F13C8A" w14:paraId="4486309D"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68829E44" w14:textId="22775ABE"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lastRenderedPageBreak/>
              <w:t>II_6_Cities, Settlements and Key Infrastructure</w:t>
            </w:r>
          </w:p>
        </w:tc>
        <w:tc>
          <w:tcPr>
            <w:tcW w:w="2982" w:type="dxa"/>
          </w:tcPr>
          <w:p w14:paraId="75FE91CF" w14:textId="57E0E7DD"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Villes et Urbanisme</w:t>
            </w:r>
          </w:p>
        </w:tc>
        <w:tc>
          <w:tcPr>
            <w:tcW w:w="2982" w:type="dxa"/>
          </w:tcPr>
          <w:p w14:paraId="422C9CBF" w14:textId="6A2BF601"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Villes</w:t>
            </w:r>
          </w:p>
        </w:tc>
      </w:tr>
      <w:tr w:rsidR="00F13C8A" w14:paraId="2E95C902"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6B03E015" w14:textId="338973B5"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II_7_Health, Wellbeing and the Changing Structure of Communities</w:t>
            </w:r>
          </w:p>
        </w:tc>
        <w:tc>
          <w:tcPr>
            <w:tcW w:w="2982" w:type="dxa"/>
          </w:tcPr>
          <w:p w14:paraId="0EB878CC" w14:textId="3B28BD72"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Santé</w:t>
            </w:r>
          </w:p>
        </w:tc>
        <w:tc>
          <w:tcPr>
            <w:tcW w:w="2982" w:type="dxa"/>
          </w:tcPr>
          <w:p w14:paraId="55FEE4A1" w14:textId="24F89E53"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C89D214"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434D275F" w14:textId="70DE9CCF"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II_8_Poverty, Livelihoods and Sustainable Development</w:t>
            </w:r>
          </w:p>
        </w:tc>
        <w:tc>
          <w:tcPr>
            <w:tcW w:w="2982" w:type="dxa"/>
          </w:tcPr>
          <w:p w14:paraId="01EC3298" w14:textId="2732960E"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Développement (pas dans le PNACC)</w:t>
            </w:r>
          </w:p>
        </w:tc>
        <w:tc>
          <w:tcPr>
            <w:tcW w:w="2982" w:type="dxa"/>
          </w:tcPr>
          <w:p w14:paraId="5D5DA4D8" w14:textId="5AB35D71"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16DC8D96"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7E4D316A" w14:textId="2E14A765"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II_9_Africa</w:t>
            </w:r>
          </w:p>
        </w:tc>
        <w:tc>
          <w:tcPr>
            <w:tcW w:w="2982" w:type="dxa"/>
          </w:tcPr>
          <w:p w14:paraId="726D9BED" w14:textId="6966A462"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7203CD01" w14:textId="21BD2383"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Afrique</w:t>
            </w:r>
          </w:p>
        </w:tc>
      </w:tr>
      <w:tr w:rsidR="00F13C8A" w14:paraId="2DC852B9"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26306E76" w14:textId="70081F3F"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II_10_Asia</w:t>
            </w:r>
          </w:p>
        </w:tc>
        <w:tc>
          <w:tcPr>
            <w:tcW w:w="2982" w:type="dxa"/>
          </w:tcPr>
          <w:p w14:paraId="2B0A7CD6" w14:textId="02A398B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4C63DAA9" w14:textId="59277761"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Asie</w:t>
            </w:r>
          </w:p>
        </w:tc>
      </w:tr>
      <w:tr w:rsidR="00F13C8A" w14:paraId="71D473CD"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791A4810" w14:textId="5A1BB395"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II_11_Australasia</w:t>
            </w:r>
          </w:p>
        </w:tc>
        <w:tc>
          <w:tcPr>
            <w:tcW w:w="2982" w:type="dxa"/>
          </w:tcPr>
          <w:p w14:paraId="004B8B3F" w14:textId="73C548D2"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D29A60F" w14:textId="31BDB178" w:rsidR="00F13C8A" w:rsidRPr="00F13C8A" w:rsidRDefault="00EE1235"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Pr>
                <w:rFonts w:asciiTheme="majorHAnsi" w:hAnsiTheme="majorHAnsi" w:cstheme="majorHAnsi"/>
                <w:color w:val="000000"/>
                <w:sz w:val="18"/>
                <w:szCs w:val="18"/>
              </w:rPr>
              <w:t>Océanie</w:t>
            </w:r>
          </w:p>
        </w:tc>
      </w:tr>
      <w:tr w:rsidR="00F13C8A" w14:paraId="3CFD5781"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7E6B6C57" w14:textId="57B1D8B1"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II_12_Central and South America</w:t>
            </w:r>
          </w:p>
        </w:tc>
        <w:tc>
          <w:tcPr>
            <w:tcW w:w="2982" w:type="dxa"/>
          </w:tcPr>
          <w:p w14:paraId="7A2842F5" w14:textId="5CD2EA1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759DACDC" w14:textId="226C8FB7"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Amérique Centrale et du Sud</w:t>
            </w:r>
          </w:p>
        </w:tc>
      </w:tr>
      <w:tr w:rsidR="00F13C8A" w14:paraId="1843EE12"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5E12B2C6" w14:textId="39D21AE6"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II_13_Europe</w:t>
            </w:r>
          </w:p>
        </w:tc>
        <w:tc>
          <w:tcPr>
            <w:tcW w:w="2982" w:type="dxa"/>
          </w:tcPr>
          <w:p w14:paraId="0E6137A4" w14:textId="4C5EC4F7"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42A03CA9" w14:textId="6AB728A5"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Europe</w:t>
            </w:r>
          </w:p>
        </w:tc>
      </w:tr>
      <w:tr w:rsidR="00F13C8A" w14:paraId="52FC9E33"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0110F7BE" w14:textId="0F9F37E2"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II_14_North America</w:t>
            </w:r>
          </w:p>
        </w:tc>
        <w:tc>
          <w:tcPr>
            <w:tcW w:w="2982" w:type="dxa"/>
          </w:tcPr>
          <w:p w14:paraId="02FCE747" w14:textId="6A2F88D4"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3B414B90" w14:textId="3CA121E7"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Amérique du Nord</w:t>
            </w:r>
          </w:p>
        </w:tc>
      </w:tr>
      <w:tr w:rsidR="00F13C8A" w14:paraId="0D728047"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404DF5AD" w14:textId="0C9E828C"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II_15_Small Islands</w:t>
            </w:r>
          </w:p>
        </w:tc>
        <w:tc>
          <w:tcPr>
            <w:tcW w:w="2982" w:type="dxa"/>
          </w:tcPr>
          <w:p w14:paraId="09D6BDF3" w14:textId="3802F05A"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0E41CD6D" w14:textId="63CB8F13"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Petites Iles</w:t>
            </w:r>
          </w:p>
        </w:tc>
      </w:tr>
      <w:tr w:rsidR="00F13C8A" w14:paraId="21F4D43A"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7CAFE7AD" w14:textId="133CB8B4"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II_16_Key Risks across Sectors and Regions</w:t>
            </w:r>
          </w:p>
        </w:tc>
        <w:tc>
          <w:tcPr>
            <w:tcW w:w="2982" w:type="dxa"/>
          </w:tcPr>
          <w:p w14:paraId="0357C76B" w14:textId="1B867AF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Prévention des risques</w:t>
            </w:r>
          </w:p>
        </w:tc>
        <w:tc>
          <w:tcPr>
            <w:tcW w:w="2982" w:type="dxa"/>
          </w:tcPr>
          <w:p w14:paraId="598A192E" w14:textId="11289B65"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061A5223"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487E78BB" w14:textId="5DDE2B9C"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II_17_Decision-Making Options for Managing Risk</w:t>
            </w:r>
          </w:p>
        </w:tc>
        <w:tc>
          <w:tcPr>
            <w:tcW w:w="2982" w:type="dxa"/>
          </w:tcPr>
          <w:p w14:paraId="36EA7899" w14:textId="2F3BE92C"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Prévention des risques</w:t>
            </w:r>
          </w:p>
        </w:tc>
        <w:tc>
          <w:tcPr>
            <w:tcW w:w="2982" w:type="dxa"/>
          </w:tcPr>
          <w:p w14:paraId="5C21572D" w14:textId="286D0D3C"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55CBDC48"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3ACDB4B3" w14:textId="7AA17EE0"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II_18_Climate Resilient Development Pathways</w:t>
            </w:r>
          </w:p>
        </w:tc>
        <w:tc>
          <w:tcPr>
            <w:tcW w:w="2982" w:type="dxa"/>
          </w:tcPr>
          <w:p w14:paraId="009A0269" w14:textId="208D4D8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Développement (pas dans le PNACC)</w:t>
            </w:r>
          </w:p>
        </w:tc>
        <w:tc>
          <w:tcPr>
            <w:tcW w:w="2982" w:type="dxa"/>
          </w:tcPr>
          <w:p w14:paraId="2F5B1F48" w14:textId="67E46BD7"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3AA97C43"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08CE944F" w14:textId="410A0699"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II_19_Biodiversity Hotspots</w:t>
            </w:r>
          </w:p>
        </w:tc>
        <w:tc>
          <w:tcPr>
            <w:tcW w:w="2982" w:type="dxa"/>
          </w:tcPr>
          <w:p w14:paraId="781C43E8" w14:textId="228E38EF"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Biodiversité</w:t>
            </w:r>
            <w:r w:rsidR="00555240">
              <w:rPr>
                <w:rFonts w:asciiTheme="majorHAnsi" w:hAnsiTheme="majorHAnsi" w:cstheme="majorHAnsi"/>
                <w:color w:val="000000"/>
                <w:sz w:val="18"/>
                <w:szCs w:val="18"/>
              </w:rPr>
              <w:t xml:space="preserve"> et services associés</w:t>
            </w:r>
          </w:p>
        </w:tc>
        <w:tc>
          <w:tcPr>
            <w:tcW w:w="2982" w:type="dxa"/>
          </w:tcPr>
          <w:p w14:paraId="6F6617BC" w14:textId="3990EF49"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0B4E8D0E"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1310DEA6" w14:textId="08388AEE"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II_20_Cities and Settlements by the Sea</w:t>
            </w:r>
          </w:p>
        </w:tc>
        <w:tc>
          <w:tcPr>
            <w:tcW w:w="2982" w:type="dxa"/>
          </w:tcPr>
          <w:p w14:paraId="093A44A6" w14:textId="7C3683E8"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Villes et Urbanisme</w:t>
            </w:r>
          </w:p>
        </w:tc>
        <w:tc>
          <w:tcPr>
            <w:tcW w:w="2982" w:type="dxa"/>
          </w:tcPr>
          <w:p w14:paraId="1B684C94" w14:textId="526F4501"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Villes et Zones littorales</w:t>
            </w:r>
          </w:p>
        </w:tc>
      </w:tr>
      <w:tr w:rsidR="00F13C8A" w14:paraId="7D1E032B"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5F8609E8" w14:textId="11B71C98"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II_21_Deserts, Semiarid and Desertification</w:t>
            </w:r>
          </w:p>
        </w:tc>
        <w:tc>
          <w:tcPr>
            <w:tcW w:w="2982" w:type="dxa"/>
          </w:tcPr>
          <w:p w14:paraId="3436EF7C" w14:textId="38D0B5E8"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3A8E3898" w14:textId="39DF5215"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Déserts et zones semi-arides</w:t>
            </w:r>
          </w:p>
        </w:tc>
      </w:tr>
      <w:tr w:rsidR="00F13C8A" w14:paraId="5379A9A6"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036C94AB" w14:textId="475CD070"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II_22_Mediterranean Region</w:t>
            </w:r>
          </w:p>
        </w:tc>
        <w:tc>
          <w:tcPr>
            <w:tcW w:w="2982" w:type="dxa"/>
          </w:tcPr>
          <w:p w14:paraId="779003F6" w14:textId="4EB5263D"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AF4FC23" w14:textId="1688CBED"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Région méditerranéenne</w:t>
            </w:r>
          </w:p>
        </w:tc>
      </w:tr>
      <w:tr w:rsidR="00F13C8A" w14:paraId="26A40DAA"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7D6E2489" w14:textId="19040DCE"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II_23_Mountains</w:t>
            </w:r>
          </w:p>
        </w:tc>
        <w:tc>
          <w:tcPr>
            <w:tcW w:w="2982" w:type="dxa"/>
          </w:tcPr>
          <w:p w14:paraId="057C96CE" w14:textId="4B924EFC"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17B21A34" w14:textId="46ECE766"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Montagnes</w:t>
            </w:r>
          </w:p>
        </w:tc>
      </w:tr>
      <w:tr w:rsidR="00F13C8A" w14:paraId="4C4A4EB8"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7EAD0540" w14:textId="09760355"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II_24_Polar Regions</w:t>
            </w:r>
          </w:p>
        </w:tc>
        <w:tc>
          <w:tcPr>
            <w:tcW w:w="2982" w:type="dxa"/>
          </w:tcPr>
          <w:p w14:paraId="4EAF67ED" w14:textId="0F6A8E1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3A32DCB8" w14:textId="05DA3418"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Régions polaires</w:t>
            </w:r>
          </w:p>
        </w:tc>
      </w:tr>
      <w:tr w:rsidR="00F13C8A" w14:paraId="36853A7E"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59BAB472" w14:textId="1F0D3C7C"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II_25_Tropical Forests</w:t>
            </w:r>
          </w:p>
        </w:tc>
        <w:tc>
          <w:tcPr>
            <w:tcW w:w="2982" w:type="dxa"/>
          </w:tcPr>
          <w:p w14:paraId="6AA95DD1" w14:textId="679BD920"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Biodiversité</w:t>
            </w:r>
            <w:r w:rsidR="00555240">
              <w:rPr>
                <w:rFonts w:asciiTheme="majorHAnsi" w:hAnsiTheme="majorHAnsi" w:cstheme="majorHAnsi"/>
                <w:color w:val="000000"/>
                <w:sz w:val="18"/>
                <w:szCs w:val="18"/>
              </w:rPr>
              <w:t xml:space="preserve"> et services associés</w:t>
            </w:r>
          </w:p>
        </w:tc>
        <w:tc>
          <w:tcPr>
            <w:tcW w:w="2982" w:type="dxa"/>
          </w:tcPr>
          <w:p w14:paraId="7E81040C" w14:textId="082E2434"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Forêts tropicales</w:t>
            </w:r>
          </w:p>
        </w:tc>
      </w:tr>
      <w:tr w:rsidR="00F13C8A" w14:paraId="07CC6FC8"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3021D09C" w14:textId="6D2F9DD4"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II_26_AnnexI_Global to Regional Atlas</w:t>
            </w:r>
          </w:p>
        </w:tc>
        <w:tc>
          <w:tcPr>
            <w:tcW w:w="2982" w:type="dxa"/>
          </w:tcPr>
          <w:p w14:paraId="1C4CCC89" w14:textId="56C6BE08"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494F71C5" w14:textId="21752807"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91C8335"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48E8FDA2" w14:textId="268D5655"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II_27_AnnexII_Glossary</w:t>
            </w:r>
          </w:p>
        </w:tc>
        <w:tc>
          <w:tcPr>
            <w:tcW w:w="2982" w:type="dxa"/>
          </w:tcPr>
          <w:p w14:paraId="2D570F9D" w14:textId="1735C0CA"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7FFEB2C1" w14:textId="0431CAEC"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18F16BB"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05E27414" w14:textId="0542626E"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III_1_Introduction and Framing</w:t>
            </w:r>
          </w:p>
        </w:tc>
        <w:tc>
          <w:tcPr>
            <w:tcW w:w="2982" w:type="dxa"/>
          </w:tcPr>
          <w:p w14:paraId="5B8BE55A" w14:textId="5EC6CD42"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20EA8F7B" w14:textId="0BBD38C4"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479BEEB"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4967F4DA" w14:textId="75377E3B"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III_2_Emissions Trends and Drivers</w:t>
            </w:r>
          </w:p>
        </w:tc>
        <w:tc>
          <w:tcPr>
            <w:tcW w:w="2982" w:type="dxa"/>
          </w:tcPr>
          <w:p w14:paraId="34291EC5" w14:textId="6CF2A520"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288E41A9" w14:textId="33B5BB08"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430ACEBA"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7D9E24FE" w14:textId="5DD4E5DD"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III_3_Mitigation Pathways Compatible with Long-term Goals</w:t>
            </w:r>
          </w:p>
        </w:tc>
        <w:tc>
          <w:tcPr>
            <w:tcW w:w="2982" w:type="dxa"/>
          </w:tcPr>
          <w:p w14:paraId="36FE2C92" w14:textId="4B8345D2"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5000A019" w14:textId="061A70C5"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8D10BBF"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10A981C7" w14:textId="3F64E320"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III_4_Mitigation and Development Pathways in the Near to Mid-term</w:t>
            </w:r>
          </w:p>
        </w:tc>
        <w:tc>
          <w:tcPr>
            <w:tcW w:w="2982" w:type="dxa"/>
          </w:tcPr>
          <w:p w14:paraId="51E4585A" w14:textId="1C6A06E3"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401E6337" w14:textId="2A96F826"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33756817"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36BC8544" w14:textId="7CBAA0CB"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III_5_Demand, Services and Social Aspects of Mitigation</w:t>
            </w:r>
          </w:p>
        </w:tc>
        <w:tc>
          <w:tcPr>
            <w:tcW w:w="2982" w:type="dxa"/>
          </w:tcPr>
          <w:p w14:paraId="7951443C" w14:textId="1EB78788"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3DB3BD64" w14:textId="01D72295"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2C85026"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3A270E20" w14:textId="35566E1E"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III_6_Energy Systems</w:t>
            </w:r>
          </w:p>
        </w:tc>
        <w:tc>
          <w:tcPr>
            <w:tcW w:w="2982" w:type="dxa"/>
          </w:tcPr>
          <w:p w14:paraId="0755BE51" w14:textId="4FCB5362"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Energie</w:t>
            </w:r>
          </w:p>
        </w:tc>
        <w:tc>
          <w:tcPr>
            <w:tcW w:w="2982" w:type="dxa"/>
          </w:tcPr>
          <w:p w14:paraId="7F72D0FC" w14:textId="464AC951"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AFD46D4"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09B7C4B5" w14:textId="3E1A05C9"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III_7_Agriculture, Forestry and Other Land Uses (AFOLU)</w:t>
            </w:r>
          </w:p>
        </w:tc>
        <w:tc>
          <w:tcPr>
            <w:tcW w:w="2982" w:type="dxa"/>
          </w:tcPr>
          <w:p w14:paraId="6A0213D1" w14:textId="60E58780"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Agriculture</w:t>
            </w:r>
            <w:r w:rsidR="00555240">
              <w:rPr>
                <w:rFonts w:asciiTheme="majorHAnsi" w:hAnsiTheme="majorHAnsi" w:cstheme="majorHAnsi"/>
                <w:color w:val="000000"/>
                <w:sz w:val="18"/>
                <w:szCs w:val="18"/>
              </w:rPr>
              <w:t xml:space="preserve"> </w:t>
            </w:r>
            <w:proofErr w:type="spellStart"/>
            <w:r w:rsidR="00555240">
              <w:rPr>
                <w:rFonts w:asciiTheme="majorHAnsi" w:hAnsiTheme="majorHAnsi" w:cstheme="majorHAnsi"/>
                <w:color w:val="000000"/>
                <w:sz w:val="18"/>
                <w:szCs w:val="18"/>
              </w:rPr>
              <w:t>et</w:t>
            </w:r>
            <w:r w:rsidRPr="00F13C8A">
              <w:rPr>
                <w:rFonts w:asciiTheme="majorHAnsi" w:hAnsiTheme="majorHAnsi" w:cstheme="majorHAnsi"/>
                <w:color w:val="000000"/>
                <w:sz w:val="18"/>
                <w:szCs w:val="18"/>
              </w:rPr>
              <w:t>sylviculture</w:t>
            </w:r>
            <w:proofErr w:type="spellEnd"/>
          </w:p>
        </w:tc>
        <w:tc>
          <w:tcPr>
            <w:tcW w:w="2982" w:type="dxa"/>
          </w:tcPr>
          <w:p w14:paraId="6CBF1E60" w14:textId="0F95F921"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Zones rurales</w:t>
            </w:r>
          </w:p>
        </w:tc>
      </w:tr>
      <w:tr w:rsidR="00F13C8A" w14:paraId="28BD810D"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619319E4" w14:textId="07832076"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III_8_Urban Systems and Other Settlements</w:t>
            </w:r>
          </w:p>
        </w:tc>
        <w:tc>
          <w:tcPr>
            <w:tcW w:w="2982" w:type="dxa"/>
          </w:tcPr>
          <w:p w14:paraId="635528CD" w14:textId="4C810E8E"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Villes et Urbanisme</w:t>
            </w:r>
          </w:p>
        </w:tc>
        <w:tc>
          <w:tcPr>
            <w:tcW w:w="2982" w:type="dxa"/>
          </w:tcPr>
          <w:p w14:paraId="550B2CAB" w14:textId="0E184690"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Villes</w:t>
            </w:r>
          </w:p>
        </w:tc>
      </w:tr>
      <w:tr w:rsidR="00F13C8A" w14:paraId="3C341925"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090C9CE7" w14:textId="5457C825"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III_9_Buildings</w:t>
            </w:r>
          </w:p>
        </w:tc>
        <w:tc>
          <w:tcPr>
            <w:tcW w:w="2982" w:type="dxa"/>
          </w:tcPr>
          <w:p w14:paraId="43EC00D7" w14:textId="46A6185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Bâtiment</w:t>
            </w:r>
          </w:p>
        </w:tc>
        <w:tc>
          <w:tcPr>
            <w:tcW w:w="2982" w:type="dxa"/>
          </w:tcPr>
          <w:p w14:paraId="4FE9176A" w14:textId="6D01C1A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Villes</w:t>
            </w:r>
          </w:p>
        </w:tc>
      </w:tr>
      <w:tr w:rsidR="00F13C8A" w14:paraId="4AF45E37"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35B57FE7" w14:textId="77705A38"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III_10_Transport</w:t>
            </w:r>
          </w:p>
        </w:tc>
        <w:tc>
          <w:tcPr>
            <w:tcW w:w="2982" w:type="dxa"/>
          </w:tcPr>
          <w:p w14:paraId="0EF88422" w14:textId="2C421C18"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Transport et mobilité</w:t>
            </w:r>
          </w:p>
        </w:tc>
        <w:tc>
          <w:tcPr>
            <w:tcW w:w="2982" w:type="dxa"/>
          </w:tcPr>
          <w:p w14:paraId="6EF1BD34" w14:textId="7F3C8108"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F7366D2"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1BCF343B" w14:textId="4F2F1893"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III_11_Industry</w:t>
            </w:r>
          </w:p>
        </w:tc>
        <w:tc>
          <w:tcPr>
            <w:tcW w:w="2982" w:type="dxa"/>
          </w:tcPr>
          <w:p w14:paraId="77138383" w14:textId="5CCEA53A"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Industrie</w:t>
            </w:r>
          </w:p>
        </w:tc>
        <w:tc>
          <w:tcPr>
            <w:tcW w:w="2982" w:type="dxa"/>
          </w:tcPr>
          <w:p w14:paraId="42A92EC0" w14:textId="7EA59C80"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1FCE6ED9"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393C75C8" w14:textId="3271D310"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III_12_Cross-sectoral Perspectives</w:t>
            </w:r>
          </w:p>
        </w:tc>
        <w:tc>
          <w:tcPr>
            <w:tcW w:w="2982" w:type="dxa"/>
          </w:tcPr>
          <w:p w14:paraId="5F7F5E49" w14:textId="53BACA54"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3450EE30" w14:textId="3FF0D73A"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43C075E4"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4D7F3247" w14:textId="157D9654"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III_13_National and Sub-national Policies and Institutions</w:t>
            </w:r>
          </w:p>
        </w:tc>
        <w:tc>
          <w:tcPr>
            <w:tcW w:w="2982" w:type="dxa"/>
          </w:tcPr>
          <w:p w14:paraId="23B8B785" w14:textId="0DFCC838"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0065281C" w14:textId="3599CC8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023792D2"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49777CC0" w14:textId="684956F9"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III_14_International Cooperation</w:t>
            </w:r>
          </w:p>
        </w:tc>
        <w:tc>
          <w:tcPr>
            <w:tcW w:w="2982" w:type="dxa"/>
          </w:tcPr>
          <w:p w14:paraId="07F9C093" w14:textId="609A842B"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135D6D52" w14:textId="22CD4D2D"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6A371D89"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29084653" w14:textId="39166BE0"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III_15_Investment and Finance</w:t>
            </w:r>
          </w:p>
        </w:tc>
        <w:tc>
          <w:tcPr>
            <w:tcW w:w="2982" w:type="dxa"/>
          </w:tcPr>
          <w:p w14:paraId="3D7EB54C" w14:textId="2C353084"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Assurances/banques</w:t>
            </w:r>
          </w:p>
        </w:tc>
        <w:tc>
          <w:tcPr>
            <w:tcW w:w="2982" w:type="dxa"/>
          </w:tcPr>
          <w:p w14:paraId="40FDF89B" w14:textId="0F92FE04"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255E96C5"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5F74F8B2" w14:textId="15278C90"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lastRenderedPageBreak/>
              <w:t>III_16_Innovation,Technology Development and Transfer</w:t>
            </w:r>
          </w:p>
        </w:tc>
        <w:tc>
          <w:tcPr>
            <w:tcW w:w="2982" w:type="dxa"/>
          </w:tcPr>
          <w:p w14:paraId="25759C08" w14:textId="29483121"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2BEFB0CE" w14:textId="51917709"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2C708DBF"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38CAC56E" w14:textId="54906903"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III_17_Accelerating the Transition in the Context of Sustainable Development</w:t>
            </w:r>
          </w:p>
        </w:tc>
        <w:tc>
          <w:tcPr>
            <w:tcW w:w="2982" w:type="dxa"/>
          </w:tcPr>
          <w:p w14:paraId="5604D9D6" w14:textId="431982A3"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1325CE85" w14:textId="44B58C4B"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2555074A"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74FAB286" w14:textId="03D3F45D"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III_18_AnnexI_Glossary</w:t>
            </w:r>
          </w:p>
        </w:tc>
        <w:tc>
          <w:tcPr>
            <w:tcW w:w="2982" w:type="dxa"/>
          </w:tcPr>
          <w:p w14:paraId="509FAC39" w14:textId="75524276"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189EF621" w14:textId="6FCCAF49"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738BEBAB" w14:textId="77777777" w:rsidTr="00F13C8A">
        <w:tc>
          <w:tcPr>
            <w:cnfStyle w:val="001000000000" w:firstRow="0" w:lastRow="0" w:firstColumn="1" w:lastColumn="0" w:oddVBand="0" w:evenVBand="0" w:oddHBand="0" w:evenHBand="0" w:firstRowFirstColumn="0" w:firstRowLastColumn="0" w:lastRowFirstColumn="0" w:lastRowLastColumn="0"/>
            <w:tcW w:w="2983" w:type="dxa"/>
          </w:tcPr>
          <w:p w14:paraId="4A05574E" w14:textId="1A6D7EA1" w:rsidR="00F13C8A" w:rsidRPr="00F13C8A" w:rsidRDefault="00F13C8A" w:rsidP="00F13C8A">
            <w:pPr>
              <w:spacing w:before="0" w:after="0" w:line="276" w:lineRule="auto"/>
              <w:ind w:firstLine="0"/>
              <w:jc w:val="center"/>
              <w:rPr>
                <w:rFonts w:asciiTheme="majorHAnsi" w:hAnsiTheme="majorHAnsi" w:cstheme="majorHAnsi"/>
                <w:sz w:val="18"/>
                <w:szCs w:val="18"/>
                <w:u w:val="single"/>
              </w:rPr>
            </w:pPr>
            <w:r w:rsidRPr="00F13C8A">
              <w:rPr>
                <w:rFonts w:asciiTheme="majorHAnsi" w:hAnsiTheme="majorHAnsi" w:cstheme="majorHAnsi"/>
                <w:color w:val="000000"/>
                <w:sz w:val="18"/>
                <w:szCs w:val="18"/>
              </w:rPr>
              <w:t>III_19_AnnexII_Definitions, Units and Conventions</w:t>
            </w:r>
          </w:p>
        </w:tc>
        <w:tc>
          <w:tcPr>
            <w:tcW w:w="2982" w:type="dxa"/>
          </w:tcPr>
          <w:p w14:paraId="49F338BB" w14:textId="759FAABF"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12D43F45" w14:textId="09664D70" w:rsidR="00F13C8A" w:rsidRPr="00F13C8A" w:rsidRDefault="00F13C8A" w:rsidP="00F13C8A">
            <w:pPr>
              <w:spacing w:before="0" w:after="0" w:line="276" w:lineRule="auto"/>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r w:rsidR="00F13C8A" w14:paraId="09958BD9" w14:textId="77777777" w:rsidTr="00F13C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83" w:type="dxa"/>
          </w:tcPr>
          <w:p w14:paraId="59DCE266" w14:textId="34B57278" w:rsidR="00F13C8A" w:rsidRPr="00F13C8A" w:rsidRDefault="00F13C8A" w:rsidP="00F13C8A">
            <w:pPr>
              <w:spacing w:before="0" w:after="0" w:line="276" w:lineRule="auto"/>
              <w:ind w:firstLine="0"/>
              <w:jc w:val="center"/>
              <w:rPr>
                <w:rFonts w:asciiTheme="majorHAnsi" w:hAnsiTheme="majorHAnsi" w:cstheme="majorHAnsi"/>
                <w:sz w:val="18"/>
                <w:szCs w:val="18"/>
                <w:u w:val="single"/>
                <w:lang w:val="en-US"/>
              </w:rPr>
            </w:pPr>
            <w:r w:rsidRPr="00F13C8A">
              <w:rPr>
                <w:rFonts w:asciiTheme="majorHAnsi" w:hAnsiTheme="majorHAnsi" w:cstheme="majorHAnsi"/>
                <w:color w:val="000000"/>
                <w:sz w:val="18"/>
                <w:szCs w:val="18"/>
                <w:lang w:val="en-US"/>
              </w:rPr>
              <w:t>III_20_AnnexIII_Scenarios and Modelling Methods</w:t>
            </w:r>
          </w:p>
        </w:tc>
        <w:tc>
          <w:tcPr>
            <w:tcW w:w="2982" w:type="dxa"/>
          </w:tcPr>
          <w:p w14:paraId="09E656D3" w14:textId="2FF52296"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Généraliste</w:t>
            </w:r>
          </w:p>
        </w:tc>
        <w:tc>
          <w:tcPr>
            <w:tcW w:w="2982" w:type="dxa"/>
          </w:tcPr>
          <w:p w14:paraId="649D821D" w14:textId="6A3CA8C9" w:rsidR="00F13C8A" w:rsidRPr="00F13C8A" w:rsidRDefault="00F13C8A" w:rsidP="00F13C8A">
            <w:pPr>
              <w:spacing w:before="0" w:after="0" w:line="276" w:lineRule="auto"/>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18"/>
                <w:szCs w:val="18"/>
                <w:u w:val="single"/>
              </w:rPr>
            </w:pPr>
            <w:r w:rsidRPr="00F13C8A">
              <w:rPr>
                <w:rFonts w:asciiTheme="majorHAnsi" w:hAnsiTheme="majorHAnsi" w:cstheme="majorHAnsi"/>
                <w:color w:val="000000"/>
                <w:sz w:val="18"/>
                <w:szCs w:val="18"/>
              </w:rPr>
              <w:t>Transversal</w:t>
            </w:r>
          </w:p>
        </w:tc>
      </w:tr>
    </w:tbl>
    <w:p w14:paraId="39ECCE53" w14:textId="50945C25" w:rsidR="002B0E3E" w:rsidRDefault="00F13C8A" w:rsidP="00902529">
      <w:pPr>
        <w:pStyle w:val="Sourcenote"/>
      </w:pPr>
      <w:r>
        <w:t>Source : correspondance proposée par la Cour et inspirée par la nomenclature employée dans le PNACC pour les secteurs</w:t>
      </w:r>
      <w:r w:rsidR="00902529">
        <w:t>.</w:t>
      </w:r>
    </w:p>
    <w:p w14:paraId="4FDC4F3B" w14:textId="4927C665" w:rsidR="00902529" w:rsidRDefault="00902529">
      <w:pPr>
        <w:spacing w:before="0" w:after="200" w:line="276" w:lineRule="auto"/>
        <w:ind w:firstLine="0"/>
        <w:jc w:val="left"/>
        <w:rPr>
          <w:rFonts w:eastAsiaTheme="majorEastAsia" w:cstheme="majorBidi"/>
          <w:b/>
          <w:bCs/>
          <w:sz w:val="30"/>
          <w:szCs w:val="28"/>
        </w:rPr>
      </w:pPr>
      <w:bookmarkStart w:id="7" w:name="_Toc146548273"/>
      <w:bookmarkStart w:id="8" w:name="_Toc146548911"/>
      <w:bookmarkEnd w:id="7"/>
      <w:bookmarkEnd w:id="8"/>
      <w:r>
        <w:br w:type="page"/>
      </w:r>
    </w:p>
    <w:p w14:paraId="2F8E4027" w14:textId="454FD79C" w:rsidR="0087527B" w:rsidRPr="00F24D74" w:rsidRDefault="00902529" w:rsidP="000F2B93">
      <w:pPr>
        <w:pStyle w:val="Titre1"/>
        <w:jc w:val="center"/>
      </w:pPr>
      <w:bookmarkStart w:id="9" w:name="_Toc146894365"/>
      <w:bookmarkStart w:id="10" w:name="_Toc146894386"/>
      <w:bookmarkStart w:id="11" w:name="_Toc146894587"/>
      <w:bookmarkStart w:id="12" w:name="_Toc147217093"/>
      <w:bookmarkStart w:id="13" w:name="_Toc160528284"/>
      <w:bookmarkEnd w:id="9"/>
      <w:bookmarkEnd w:id="10"/>
      <w:bookmarkEnd w:id="11"/>
      <w:bookmarkEnd w:id="12"/>
      <w:r>
        <w:rPr>
          <w:highlight w:val="lightGray"/>
        </w:rPr>
        <w:lastRenderedPageBreak/>
        <w:t>M</w:t>
      </w:r>
      <w:r w:rsidR="0087527B">
        <w:t>éthode de classification fondée sur les journaux de publications et tirée des métadonnées bibliographiques du GIEC</w:t>
      </w:r>
      <w:bookmarkEnd w:id="13"/>
    </w:p>
    <w:p w14:paraId="36F7201A" w14:textId="48A57DFC" w:rsidR="005A6DF0" w:rsidRDefault="005A6DF0" w:rsidP="005A6DF0">
      <w:pPr>
        <w:spacing w:before="0" w:after="200" w:line="276" w:lineRule="auto"/>
        <w:ind w:firstLine="0"/>
        <w:jc w:val="left"/>
      </w:pPr>
      <w:r>
        <w:rPr>
          <w:u w:val="single"/>
        </w:rPr>
        <w:t>Finalités et principes de l’approche mise en œuvre</w:t>
      </w:r>
    </w:p>
    <w:p w14:paraId="0BDB1EE7" w14:textId="3C9BD882" w:rsidR="00954890" w:rsidRDefault="00954890" w:rsidP="005A6DF0">
      <w:r>
        <w:t>Une méthode inspirée de la logique de classement du schéma de classification « </w:t>
      </w:r>
      <w:r w:rsidRPr="002A728C">
        <w:rPr>
          <w:i/>
        </w:rPr>
        <w:t>Web of Science</w:t>
      </w:r>
      <w:r>
        <w:t> » qui se fonde à titre principal</w:t>
      </w:r>
      <w:r>
        <w:rPr>
          <w:rStyle w:val="Appelnotedebasdep"/>
        </w:rPr>
        <w:footnoteReference w:id="11"/>
      </w:r>
      <w:r>
        <w:t xml:space="preserve"> sur une classification au grain des journaux</w:t>
      </w:r>
      <w:r>
        <w:rPr>
          <w:rStyle w:val="Appelnotedebasdep"/>
        </w:rPr>
        <w:footnoteReference w:id="12"/>
      </w:r>
      <w:r>
        <w:t xml:space="preserve"> </w:t>
      </w:r>
      <w:r w:rsidR="005A6DF0">
        <w:t xml:space="preserve">a été </w:t>
      </w:r>
      <w:r>
        <w:t>développée</w:t>
      </w:r>
      <w:r w:rsidR="005A6DF0">
        <w:t xml:space="preserve"> par la Cour </w:t>
      </w:r>
      <w:r>
        <w:t xml:space="preserve">à partir des métadonnées des citations du GIEC </w:t>
      </w:r>
      <w:r w:rsidR="005A6DF0">
        <w:t>pour créer une classification « à façon »</w:t>
      </w:r>
      <w:r>
        <w:t>. Cette classification est par construction</w:t>
      </w:r>
      <w:r w:rsidR="005A6DF0">
        <w:t xml:space="preserve"> adaptée au périmètre de l’enquête et </w:t>
      </w:r>
      <w:r>
        <w:t xml:space="preserve">peut être </w:t>
      </w:r>
      <w:r w:rsidR="005A6DF0">
        <w:t>directement intégr</w:t>
      </w:r>
      <w:r>
        <w:t>ée</w:t>
      </w:r>
      <w:r w:rsidR="005A6DF0">
        <w:t xml:space="preserve"> </w:t>
      </w:r>
      <w:r>
        <w:t>pour paramétrer</w:t>
      </w:r>
      <w:r w:rsidR="005A6DF0">
        <w:t xml:space="preserve"> l’outil InCites qui calcul</w:t>
      </w:r>
      <w:r>
        <w:t>e</w:t>
      </w:r>
      <w:r w:rsidR="005A6DF0">
        <w:t xml:space="preserve"> de nombreux indicateurs en séries longues à partir des données d</w:t>
      </w:r>
      <w:r w:rsidR="009B4806">
        <w:t>u</w:t>
      </w:r>
      <w:r w:rsidR="005A6DF0">
        <w:t xml:space="preserve"> « </w:t>
      </w:r>
      <w:r w:rsidR="005A6DF0" w:rsidRPr="002A728C">
        <w:rPr>
          <w:i/>
        </w:rPr>
        <w:t>Web of Science</w:t>
      </w:r>
      <w:r w:rsidR="005A6DF0">
        <w:t xml:space="preserve"> ». </w:t>
      </w:r>
    </w:p>
    <w:p w14:paraId="1755D77D" w14:textId="77777777" w:rsidR="00FD0EF6" w:rsidRDefault="00954890" w:rsidP="005A6DF0">
      <w:r>
        <w:t xml:space="preserve">Pour chaque journal et chaque groupe du GIEC, un taux de spécialisation a été calculé par la Cour à partir des métadonnées des citations du GIEC en rapportant le nombre de citations pour un groupe donné au nombre total de citations par les trois groupes (sans redondances, l’union des trois ensembles étant employée). Le groupe de spécialisation assigné à un journal est donné par le maximum des trois taux calculés. </w:t>
      </w:r>
    </w:p>
    <w:p w14:paraId="04B76101" w14:textId="1E36F215" w:rsidR="00954890" w:rsidRDefault="00954890" w:rsidP="005A6DF0">
      <w:r>
        <w:t xml:space="preserve">Le taux </w:t>
      </w:r>
      <w:r w:rsidR="00FD0EF6">
        <w:t xml:space="preserve">maximal </w:t>
      </w:r>
      <w:r>
        <w:t>permet d’évaluer le niveau de cette spécialisation d</w:t>
      </w:r>
      <w:r w:rsidR="00FD0EF6">
        <w:t>’un</w:t>
      </w:r>
      <w:r>
        <w:t xml:space="preserve"> journal (1 étant le niveau maximal, 1/3 + epsilon le niveau le plus faible, un score de 1/3 indiquant un journal parfaitement généraliste au sens de cette approche puisqu’il y a trois groupes du GIEC au total).</w:t>
      </w:r>
    </w:p>
    <w:p w14:paraId="3905A3BB" w14:textId="76404C6D" w:rsidR="005A6DF0" w:rsidRDefault="005A6DF0" w:rsidP="005A6DF0"/>
    <w:p w14:paraId="125AED54" w14:textId="6B54AFD7" w:rsidR="00CE6756" w:rsidRDefault="005A6DF0" w:rsidP="005A6DF0">
      <w:pPr>
        <w:spacing w:before="0" w:after="200" w:line="276" w:lineRule="auto"/>
        <w:ind w:firstLine="0"/>
        <w:jc w:val="left"/>
        <w:rPr>
          <w:u w:val="single"/>
        </w:rPr>
      </w:pPr>
      <w:r w:rsidRPr="005A6DF0">
        <w:rPr>
          <w:u w:val="single"/>
        </w:rPr>
        <w:t>Table des journaux déduite de l’approche précitée</w:t>
      </w:r>
    </w:p>
    <w:p w14:paraId="2AEAC3AB" w14:textId="222D0FEC" w:rsidR="00CE6756" w:rsidRPr="00CE6756" w:rsidRDefault="00CE6756" w:rsidP="00CE6756">
      <w:pPr>
        <w:pStyle w:val="Titretableau"/>
      </w:pPr>
      <w:r w:rsidRPr="00CE6756">
        <w:t>Rang des journaux classés par ordre de citations décroissantes déduits de l’ensemble des métadonnées du GIEC (ensemble du monde).</w:t>
      </w:r>
    </w:p>
    <w:tbl>
      <w:tblPr>
        <w:tblStyle w:val="Grilledutableau"/>
        <w:tblW w:w="0" w:type="auto"/>
        <w:tblLook w:val="04A0" w:firstRow="1" w:lastRow="0" w:firstColumn="1" w:lastColumn="0" w:noHBand="0" w:noVBand="1"/>
      </w:tblPr>
      <w:tblGrid>
        <w:gridCol w:w="1786"/>
        <w:gridCol w:w="1788"/>
        <w:gridCol w:w="1789"/>
        <w:gridCol w:w="1789"/>
        <w:gridCol w:w="1789"/>
      </w:tblGrid>
      <w:tr w:rsidR="00CE6756" w14:paraId="2AF51632" w14:textId="77777777" w:rsidTr="00CE675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6" w:type="dxa"/>
            <w:vAlign w:val="top"/>
          </w:tcPr>
          <w:p w14:paraId="162E0E4E" w14:textId="679AB5B2" w:rsidR="00CE6756" w:rsidRDefault="00CE6756" w:rsidP="00CE6756">
            <w:pPr>
              <w:spacing w:before="0" w:after="200" w:line="276" w:lineRule="auto"/>
              <w:ind w:firstLine="0"/>
              <w:jc w:val="left"/>
            </w:pPr>
            <w:r w:rsidRPr="0049708A">
              <w:t>Rang du journal</w:t>
            </w:r>
          </w:p>
        </w:tc>
        <w:tc>
          <w:tcPr>
            <w:tcW w:w="1788" w:type="dxa"/>
            <w:vAlign w:val="top"/>
          </w:tcPr>
          <w:p w14:paraId="7FE79262" w14:textId="35396D7E" w:rsidR="00CE6756" w:rsidRDefault="00CE6756" w:rsidP="00CE6756">
            <w:pPr>
              <w:spacing w:before="0" w:after="200" w:line="276" w:lineRule="auto"/>
              <w:ind w:firstLine="0"/>
              <w:jc w:val="left"/>
              <w:cnfStyle w:val="100000000000" w:firstRow="1" w:lastRow="0" w:firstColumn="0" w:lastColumn="0" w:oddVBand="0" w:evenVBand="0" w:oddHBand="0" w:evenHBand="0" w:firstRowFirstColumn="0" w:firstRowLastColumn="0" w:lastRowFirstColumn="0" w:lastRowLastColumn="0"/>
            </w:pPr>
            <w:r w:rsidRPr="0049708A">
              <w:t>Ensemble des groupes du GIEC</w:t>
            </w:r>
          </w:p>
        </w:tc>
        <w:tc>
          <w:tcPr>
            <w:tcW w:w="1789" w:type="dxa"/>
            <w:vAlign w:val="top"/>
          </w:tcPr>
          <w:p w14:paraId="71E7C7D0" w14:textId="772A4FF7" w:rsidR="00CE6756" w:rsidRDefault="00CE6756" w:rsidP="00CE6756">
            <w:pPr>
              <w:spacing w:before="0" w:after="200" w:line="276" w:lineRule="auto"/>
              <w:ind w:firstLine="0"/>
              <w:jc w:val="left"/>
              <w:cnfStyle w:val="100000000000" w:firstRow="1" w:lastRow="0" w:firstColumn="0" w:lastColumn="0" w:oddVBand="0" w:evenVBand="0" w:oddHBand="0" w:evenHBand="0" w:firstRowFirstColumn="0" w:firstRowLastColumn="0" w:lastRowFirstColumn="0" w:lastRowLastColumn="0"/>
            </w:pPr>
            <w:r w:rsidRPr="0049708A">
              <w:t>Groupe 1</w:t>
            </w:r>
          </w:p>
        </w:tc>
        <w:tc>
          <w:tcPr>
            <w:tcW w:w="1789" w:type="dxa"/>
            <w:vAlign w:val="top"/>
          </w:tcPr>
          <w:p w14:paraId="63E96D79" w14:textId="2D4AA4BA" w:rsidR="00CE6756" w:rsidRDefault="00CE6756" w:rsidP="00CE6756">
            <w:pPr>
              <w:spacing w:before="0" w:after="200" w:line="276" w:lineRule="auto"/>
              <w:ind w:firstLine="0"/>
              <w:jc w:val="left"/>
              <w:cnfStyle w:val="100000000000" w:firstRow="1" w:lastRow="0" w:firstColumn="0" w:lastColumn="0" w:oddVBand="0" w:evenVBand="0" w:oddHBand="0" w:evenHBand="0" w:firstRowFirstColumn="0" w:firstRowLastColumn="0" w:lastRowFirstColumn="0" w:lastRowLastColumn="0"/>
            </w:pPr>
            <w:r w:rsidRPr="0049708A">
              <w:t>Groupe 2</w:t>
            </w:r>
          </w:p>
        </w:tc>
        <w:tc>
          <w:tcPr>
            <w:tcW w:w="1789" w:type="dxa"/>
            <w:vAlign w:val="top"/>
          </w:tcPr>
          <w:p w14:paraId="0D199EFD" w14:textId="239E3FED" w:rsidR="00CE6756" w:rsidRDefault="00CE6756" w:rsidP="00CE6756">
            <w:pPr>
              <w:spacing w:before="0" w:after="200" w:line="276" w:lineRule="auto"/>
              <w:ind w:firstLine="0"/>
              <w:jc w:val="left"/>
              <w:cnfStyle w:val="100000000000" w:firstRow="1" w:lastRow="0" w:firstColumn="0" w:lastColumn="0" w:oddVBand="0" w:evenVBand="0" w:oddHBand="0" w:evenHBand="0" w:firstRowFirstColumn="0" w:firstRowLastColumn="0" w:lastRowFirstColumn="0" w:lastRowLastColumn="0"/>
            </w:pPr>
            <w:r w:rsidRPr="0049708A">
              <w:t>Groupe 3</w:t>
            </w:r>
          </w:p>
        </w:tc>
      </w:tr>
      <w:tr w:rsidR="00CE6756" w14:paraId="444833AF" w14:textId="77777777" w:rsidTr="00CE67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6" w:type="dxa"/>
            <w:vAlign w:val="top"/>
          </w:tcPr>
          <w:p w14:paraId="17613E2E" w14:textId="09071E19" w:rsidR="00CE6756" w:rsidRDefault="00CE6756" w:rsidP="00CE6756">
            <w:pPr>
              <w:spacing w:before="0" w:after="200" w:line="276" w:lineRule="auto"/>
              <w:ind w:firstLine="0"/>
              <w:jc w:val="left"/>
            </w:pPr>
            <w:r w:rsidRPr="0049708A">
              <w:t>1</w:t>
            </w:r>
          </w:p>
        </w:tc>
        <w:tc>
          <w:tcPr>
            <w:tcW w:w="1788" w:type="dxa"/>
            <w:vAlign w:val="top"/>
          </w:tcPr>
          <w:p w14:paraId="089B1F2A" w14:textId="711A64FE"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geophysical research letters</w:t>
            </w:r>
          </w:p>
        </w:tc>
        <w:tc>
          <w:tcPr>
            <w:tcW w:w="1789" w:type="dxa"/>
            <w:vAlign w:val="top"/>
          </w:tcPr>
          <w:p w14:paraId="4207476E" w14:textId="1CA16228"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geophysical research letters</w:t>
            </w:r>
          </w:p>
        </w:tc>
        <w:tc>
          <w:tcPr>
            <w:tcW w:w="1789" w:type="dxa"/>
            <w:vAlign w:val="top"/>
          </w:tcPr>
          <w:p w14:paraId="2C4C1124" w14:textId="763F5200"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regional environmental change</w:t>
            </w:r>
          </w:p>
        </w:tc>
        <w:tc>
          <w:tcPr>
            <w:tcW w:w="1789" w:type="dxa"/>
            <w:vAlign w:val="top"/>
          </w:tcPr>
          <w:p w14:paraId="7D3A652C" w14:textId="7639B00D"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energy policy</w:t>
            </w:r>
          </w:p>
        </w:tc>
      </w:tr>
      <w:tr w:rsidR="00CE6756" w14:paraId="5C05C19A" w14:textId="77777777" w:rsidTr="00CE6756">
        <w:tc>
          <w:tcPr>
            <w:cnfStyle w:val="001000000000" w:firstRow="0" w:lastRow="0" w:firstColumn="1" w:lastColumn="0" w:oddVBand="0" w:evenVBand="0" w:oddHBand="0" w:evenHBand="0" w:firstRowFirstColumn="0" w:firstRowLastColumn="0" w:lastRowFirstColumn="0" w:lastRowLastColumn="0"/>
            <w:tcW w:w="1786" w:type="dxa"/>
            <w:vAlign w:val="top"/>
          </w:tcPr>
          <w:p w14:paraId="20F38D3A" w14:textId="1E23CBD9" w:rsidR="00CE6756" w:rsidRDefault="00CE6756" w:rsidP="00CE6756">
            <w:pPr>
              <w:spacing w:before="0" w:after="200" w:line="276" w:lineRule="auto"/>
              <w:ind w:firstLine="0"/>
              <w:jc w:val="left"/>
            </w:pPr>
            <w:r w:rsidRPr="0049708A">
              <w:t>2</w:t>
            </w:r>
          </w:p>
        </w:tc>
        <w:tc>
          <w:tcPr>
            <w:tcW w:w="1788" w:type="dxa"/>
            <w:vAlign w:val="top"/>
          </w:tcPr>
          <w:p w14:paraId="3A7DBCF1" w14:textId="5E5017AD"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journal of climate</w:t>
            </w:r>
          </w:p>
        </w:tc>
        <w:tc>
          <w:tcPr>
            <w:tcW w:w="1789" w:type="dxa"/>
            <w:vAlign w:val="top"/>
          </w:tcPr>
          <w:p w14:paraId="04C63F59" w14:textId="41A92B81"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journal of climate</w:t>
            </w:r>
          </w:p>
        </w:tc>
        <w:tc>
          <w:tcPr>
            <w:tcW w:w="1789" w:type="dxa"/>
            <w:vAlign w:val="top"/>
          </w:tcPr>
          <w:p w14:paraId="4478EBFC" w14:textId="11F6BDAC"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frontiers in marine science</w:t>
            </w:r>
          </w:p>
        </w:tc>
        <w:tc>
          <w:tcPr>
            <w:tcW w:w="1789" w:type="dxa"/>
            <w:vAlign w:val="top"/>
          </w:tcPr>
          <w:p w14:paraId="6E01F44B" w14:textId="41D71FBD"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journal of cleaner production</w:t>
            </w:r>
          </w:p>
        </w:tc>
      </w:tr>
      <w:tr w:rsidR="00CE6756" w14:paraId="6FAC00A4" w14:textId="77777777" w:rsidTr="00CE67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6" w:type="dxa"/>
            <w:vAlign w:val="top"/>
          </w:tcPr>
          <w:p w14:paraId="63E12190" w14:textId="74E96E99" w:rsidR="00CE6756" w:rsidRDefault="00CE6756" w:rsidP="00CE6756">
            <w:pPr>
              <w:spacing w:before="0" w:after="200" w:line="276" w:lineRule="auto"/>
              <w:ind w:firstLine="0"/>
              <w:jc w:val="left"/>
            </w:pPr>
            <w:r w:rsidRPr="0049708A">
              <w:lastRenderedPageBreak/>
              <w:t>3</w:t>
            </w:r>
          </w:p>
        </w:tc>
        <w:tc>
          <w:tcPr>
            <w:tcW w:w="1788" w:type="dxa"/>
            <w:vAlign w:val="top"/>
          </w:tcPr>
          <w:p w14:paraId="4ED16B60" w14:textId="3A44D4B9"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environmental research letters</w:t>
            </w:r>
          </w:p>
        </w:tc>
        <w:tc>
          <w:tcPr>
            <w:tcW w:w="1789" w:type="dxa"/>
            <w:vAlign w:val="top"/>
          </w:tcPr>
          <w:p w14:paraId="53112873" w14:textId="7DA1A1D5"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climate dynamics</w:t>
            </w:r>
          </w:p>
        </w:tc>
        <w:tc>
          <w:tcPr>
            <w:tcW w:w="1789" w:type="dxa"/>
            <w:vAlign w:val="top"/>
          </w:tcPr>
          <w:p w14:paraId="5449B72A" w14:textId="3CCA6669"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climate and development</w:t>
            </w:r>
          </w:p>
        </w:tc>
        <w:tc>
          <w:tcPr>
            <w:tcW w:w="1789" w:type="dxa"/>
            <w:vAlign w:val="top"/>
          </w:tcPr>
          <w:p w14:paraId="2B04BBF9" w14:textId="3BC791B4"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climate policy</w:t>
            </w:r>
          </w:p>
        </w:tc>
      </w:tr>
      <w:tr w:rsidR="00CE6756" w14:paraId="75A12538" w14:textId="77777777" w:rsidTr="00CE6756">
        <w:tc>
          <w:tcPr>
            <w:cnfStyle w:val="001000000000" w:firstRow="0" w:lastRow="0" w:firstColumn="1" w:lastColumn="0" w:oddVBand="0" w:evenVBand="0" w:oddHBand="0" w:evenHBand="0" w:firstRowFirstColumn="0" w:firstRowLastColumn="0" w:lastRowFirstColumn="0" w:lastRowLastColumn="0"/>
            <w:tcW w:w="1786" w:type="dxa"/>
            <w:vAlign w:val="top"/>
          </w:tcPr>
          <w:p w14:paraId="34A194D5" w14:textId="722D6BC6" w:rsidR="00CE6756" w:rsidRDefault="00CE6756" w:rsidP="00CE6756">
            <w:pPr>
              <w:spacing w:before="0" w:after="200" w:line="276" w:lineRule="auto"/>
              <w:ind w:firstLine="0"/>
              <w:jc w:val="left"/>
            </w:pPr>
            <w:r w:rsidRPr="0049708A">
              <w:t>4</w:t>
            </w:r>
          </w:p>
        </w:tc>
        <w:tc>
          <w:tcPr>
            <w:tcW w:w="1788" w:type="dxa"/>
            <w:vAlign w:val="top"/>
          </w:tcPr>
          <w:p w14:paraId="35D76F98" w14:textId="538C6C69"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nature climate change</w:t>
            </w:r>
          </w:p>
        </w:tc>
        <w:tc>
          <w:tcPr>
            <w:tcW w:w="1789" w:type="dxa"/>
            <w:vAlign w:val="top"/>
          </w:tcPr>
          <w:p w14:paraId="24E0E73F" w14:textId="4D27DE1F" w:rsidR="00CE6756" w:rsidRP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sidRPr="00CE6756">
              <w:rPr>
                <w:lang w:val="en-US"/>
              </w:rPr>
              <w:t>journal of geophysical research-atmospheres</w:t>
            </w:r>
          </w:p>
        </w:tc>
        <w:tc>
          <w:tcPr>
            <w:tcW w:w="1789" w:type="dxa"/>
            <w:vAlign w:val="top"/>
          </w:tcPr>
          <w:p w14:paraId="63142B3C" w14:textId="0D812D45"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geophysical research letters</w:t>
            </w:r>
          </w:p>
        </w:tc>
        <w:tc>
          <w:tcPr>
            <w:tcW w:w="1789" w:type="dxa"/>
            <w:vAlign w:val="top"/>
          </w:tcPr>
          <w:p w14:paraId="17CB845A" w14:textId="2FB27A06"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renewable &amp; sustainable energy reviews</w:t>
            </w:r>
          </w:p>
        </w:tc>
      </w:tr>
      <w:tr w:rsidR="00CE6756" w14:paraId="2BF1D2B5" w14:textId="77777777" w:rsidTr="00CE67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6" w:type="dxa"/>
            <w:vAlign w:val="top"/>
          </w:tcPr>
          <w:p w14:paraId="421DBBD9" w14:textId="6CFFF65E" w:rsidR="00CE6756" w:rsidRDefault="00CE6756" w:rsidP="00CE6756">
            <w:pPr>
              <w:spacing w:before="0" w:after="200" w:line="276" w:lineRule="auto"/>
              <w:ind w:firstLine="0"/>
              <w:jc w:val="left"/>
            </w:pPr>
            <w:r w:rsidRPr="0049708A">
              <w:t>5</w:t>
            </w:r>
          </w:p>
        </w:tc>
        <w:tc>
          <w:tcPr>
            <w:tcW w:w="1788" w:type="dxa"/>
            <w:vAlign w:val="top"/>
          </w:tcPr>
          <w:p w14:paraId="09BC39E5" w14:textId="329B6B36"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climate dynamics</w:t>
            </w:r>
          </w:p>
        </w:tc>
        <w:tc>
          <w:tcPr>
            <w:tcW w:w="1789" w:type="dxa"/>
            <w:vAlign w:val="top"/>
          </w:tcPr>
          <w:p w14:paraId="1505B34D" w14:textId="0F6CC239"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atmospheric chemistry and physics</w:t>
            </w:r>
          </w:p>
        </w:tc>
        <w:tc>
          <w:tcPr>
            <w:tcW w:w="1789" w:type="dxa"/>
            <w:vAlign w:val="top"/>
          </w:tcPr>
          <w:p w14:paraId="16BC51CA" w14:textId="5A63C2BF"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environmental science &amp; policy</w:t>
            </w:r>
          </w:p>
        </w:tc>
        <w:tc>
          <w:tcPr>
            <w:tcW w:w="1789" w:type="dxa"/>
            <w:vAlign w:val="top"/>
          </w:tcPr>
          <w:p w14:paraId="519A6A6E" w14:textId="40330283"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energy research &amp; social science</w:t>
            </w:r>
          </w:p>
        </w:tc>
      </w:tr>
      <w:tr w:rsidR="00CE6756" w14:paraId="4111F0F7" w14:textId="77777777" w:rsidTr="00CE6756">
        <w:tc>
          <w:tcPr>
            <w:cnfStyle w:val="001000000000" w:firstRow="0" w:lastRow="0" w:firstColumn="1" w:lastColumn="0" w:oddVBand="0" w:evenVBand="0" w:oddHBand="0" w:evenHBand="0" w:firstRowFirstColumn="0" w:firstRowLastColumn="0" w:lastRowFirstColumn="0" w:lastRowLastColumn="0"/>
            <w:tcW w:w="1786" w:type="dxa"/>
            <w:vAlign w:val="top"/>
          </w:tcPr>
          <w:p w14:paraId="772D2DF0" w14:textId="7FF42F5B" w:rsidR="00CE6756" w:rsidRDefault="00CE6756" w:rsidP="00CE6756">
            <w:pPr>
              <w:spacing w:before="0" w:after="200" w:line="276" w:lineRule="auto"/>
              <w:ind w:firstLine="0"/>
              <w:jc w:val="left"/>
            </w:pPr>
            <w:r w:rsidRPr="0049708A">
              <w:t>6</w:t>
            </w:r>
          </w:p>
        </w:tc>
        <w:tc>
          <w:tcPr>
            <w:tcW w:w="1788" w:type="dxa"/>
            <w:vAlign w:val="top"/>
          </w:tcPr>
          <w:p w14:paraId="1B483545" w14:textId="55C9B91B"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climatic change</w:t>
            </w:r>
          </w:p>
        </w:tc>
        <w:tc>
          <w:tcPr>
            <w:tcW w:w="1789" w:type="dxa"/>
            <w:vAlign w:val="top"/>
          </w:tcPr>
          <w:p w14:paraId="3C304CE4" w14:textId="36CF352C"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international journal of climatology</w:t>
            </w:r>
          </w:p>
        </w:tc>
        <w:tc>
          <w:tcPr>
            <w:tcW w:w="1789" w:type="dxa"/>
            <w:vAlign w:val="top"/>
          </w:tcPr>
          <w:p w14:paraId="2402A2D8" w14:textId="4637B632"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marine policy</w:t>
            </w:r>
          </w:p>
        </w:tc>
        <w:tc>
          <w:tcPr>
            <w:tcW w:w="1789" w:type="dxa"/>
            <w:vAlign w:val="top"/>
          </w:tcPr>
          <w:p w14:paraId="142DEE0C" w14:textId="62557481"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applied energy</w:t>
            </w:r>
          </w:p>
        </w:tc>
      </w:tr>
      <w:tr w:rsidR="00CE6756" w14:paraId="1E40DFD9" w14:textId="77777777" w:rsidTr="00CE67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6" w:type="dxa"/>
            <w:vAlign w:val="top"/>
          </w:tcPr>
          <w:p w14:paraId="68560CD1" w14:textId="036358A0" w:rsidR="00CE6756" w:rsidRDefault="00CE6756" w:rsidP="00CE6756">
            <w:pPr>
              <w:spacing w:before="0" w:after="200" w:line="276" w:lineRule="auto"/>
              <w:ind w:firstLine="0"/>
              <w:jc w:val="left"/>
            </w:pPr>
            <w:r w:rsidRPr="0049708A">
              <w:t>7</w:t>
            </w:r>
          </w:p>
        </w:tc>
        <w:tc>
          <w:tcPr>
            <w:tcW w:w="1788" w:type="dxa"/>
            <w:vAlign w:val="top"/>
          </w:tcPr>
          <w:p w14:paraId="4836AD01" w14:textId="154BAAD9" w:rsidR="00CE6756" w:rsidRP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sidRPr="00CE6756">
              <w:rPr>
                <w:lang w:val="en-US"/>
              </w:rPr>
              <w:t>journal of geophysical research-atmospheres</w:t>
            </w:r>
          </w:p>
        </w:tc>
        <w:tc>
          <w:tcPr>
            <w:tcW w:w="1789" w:type="dxa"/>
            <w:vAlign w:val="top"/>
          </w:tcPr>
          <w:p w14:paraId="7497DB99" w14:textId="12E60D91"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nature geoscience</w:t>
            </w:r>
          </w:p>
        </w:tc>
        <w:tc>
          <w:tcPr>
            <w:tcW w:w="1789" w:type="dxa"/>
            <w:vAlign w:val="top"/>
          </w:tcPr>
          <w:p w14:paraId="00D06D6E" w14:textId="1EA33923" w:rsidR="00CE6756" w:rsidRP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rPr>
                <w:lang w:val="en-US"/>
              </w:rPr>
            </w:pPr>
            <w:r w:rsidRPr="00CE6756">
              <w:rPr>
                <w:lang w:val="en-US"/>
              </w:rPr>
              <w:t>international journal of environmental research and public health</w:t>
            </w:r>
          </w:p>
        </w:tc>
        <w:tc>
          <w:tcPr>
            <w:tcW w:w="1789" w:type="dxa"/>
            <w:vAlign w:val="top"/>
          </w:tcPr>
          <w:p w14:paraId="5702B75A" w14:textId="76D3B5CC"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energy</w:t>
            </w:r>
          </w:p>
        </w:tc>
      </w:tr>
      <w:tr w:rsidR="00CE6756" w14:paraId="6C2D28CF" w14:textId="77777777" w:rsidTr="00CE6756">
        <w:tc>
          <w:tcPr>
            <w:cnfStyle w:val="001000000000" w:firstRow="0" w:lastRow="0" w:firstColumn="1" w:lastColumn="0" w:oddVBand="0" w:evenVBand="0" w:oddHBand="0" w:evenHBand="0" w:firstRowFirstColumn="0" w:firstRowLastColumn="0" w:lastRowFirstColumn="0" w:lastRowLastColumn="0"/>
            <w:tcW w:w="1786" w:type="dxa"/>
            <w:vAlign w:val="top"/>
          </w:tcPr>
          <w:p w14:paraId="39D85934" w14:textId="32F25B41" w:rsidR="00CE6756" w:rsidRDefault="00CE6756" w:rsidP="00CE6756">
            <w:pPr>
              <w:spacing w:before="0" w:after="200" w:line="276" w:lineRule="auto"/>
              <w:ind w:firstLine="0"/>
              <w:jc w:val="left"/>
            </w:pPr>
            <w:r w:rsidRPr="0049708A">
              <w:t>8</w:t>
            </w:r>
          </w:p>
        </w:tc>
        <w:tc>
          <w:tcPr>
            <w:tcW w:w="1788" w:type="dxa"/>
            <w:vAlign w:val="top"/>
          </w:tcPr>
          <w:p w14:paraId="3BE303C5" w14:textId="16A3A81B"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energy policy</w:t>
            </w:r>
          </w:p>
        </w:tc>
        <w:tc>
          <w:tcPr>
            <w:tcW w:w="1789" w:type="dxa"/>
            <w:vAlign w:val="top"/>
          </w:tcPr>
          <w:p w14:paraId="0F147B47" w14:textId="1F74BEF8" w:rsidR="00CE6756" w:rsidRP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rPr>
                <w:lang w:val="en-US"/>
              </w:rPr>
            </w:pPr>
            <w:r w:rsidRPr="00CE6756">
              <w:rPr>
                <w:lang w:val="en-US"/>
              </w:rPr>
              <w:t>bulletin of the american meteorological society</w:t>
            </w:r>
          </w:p>
        </w:tc>
        <w:tc>
          <w:tcPr>
            <w:tcW w:w="1789" w:type="dxa"/>
            <w:vAlign w:val="top"/>
          </w:tcPr>
          <w:p w14:paraId="1FCA1D0D" w14:textId="5CCEFB8C"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international journal of climatology</w:t>
            </w:r>
          </w:p>
        </w:tc>
        <w:tc>
          <w:tcPr>
            <w:tcW w:w="1789" w:type="dxa"/>
            <w:vAlign w:val="top"/>
          </w:tcPr>
          <w:p w14:paraId="27C92F6D" w14:textId="0B950055"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energy economics</w:t>
            </w:r>
          </w:p>
        </w:tc>
      </w:tr>
      <w:tr w:rsidR="00CE6756" w14:paraId="58B0D05C" w14:textId="77777777" w:rsidTr="00CE675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6" w:type="dxa"/>
            <w:vAlign w:val="top"/>
          </w:tcPr>
          <w:p w14:paraId="1B838097" w14:textId="6E3A6184" w:rsidR="00CE6756" w:rsidRDefault="00CE6756" w:rsidP="00CE6756">
            <w:pPr>
              <w:spacing w:before="0" w:after="200" w:line="276" w:lineRule="auto"/>
              <w:ind w:firstLine="0"/>
              <w:jc w:val="left"/>
            </w:pPr>
            <w:r w:rsidRPr="0049708A">
              <w:t>9</w:t>
            </w:r>
          </w:p>
        </w:tc>
        <w:tc>
          <w:tcPr>
            <w:tcW w:w="1788" w:type="dxa"/>
            <w:vAlign w:val="top"/>
          </w:tcPr>
          <w:p w14:paraId="1EE8F035" w14:textId="50BBFE56"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international journal of climatology</w:t>
            </w:r>
          </w:p>
        </w:tc>
        <w:tc>
          <w:tcPr>
            <w:tcW w:w="1789" w:type="dxa"/>
            <w:vAlign w:val="top"/>
          </w:tcPr>
          <w:p w14:paraId="6953E270" w14:textId="57190CF8"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geoscientific model development</w:t>
            </w:r>
          </w:p>
        </w:tc>
        <w:tc>
          <w:tcPr>
            <w:tcW w:w="1789" w:type="dxa"/>
            <w:vAlign w:val="top"/>
          </w:tcPr>
          <w:p w14:paraId="5222E3F0" w14:textId="77137D3A"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ecology and society</w:t>
            </w:r>
          </w:p>
        </w:tc>
        <w:tc>
          <w:tcPr>
            <w:tcW w:w="1789" w:type="dxa"/>
            <w:vAlign w:val="top"/>
          </w:tcPr>
          <w:p w14:paraId="1F8F54B1" w14:textId="41B812EE" w:rsidR="00CE6756" w:rsidRDefault="00CE6756" w:rsidP="00CE6756">
            <w:pPr>
              <w:spacing w:before="0" w:after="200" w:line="276" w:lineRule="auto"/>
              <w:ind w:firstLine="0"/>
              <w:jc w:val="left"/>
              <w:cnfStyle w:val="000000100000" w:firstRow="0" w:lastRow="0" w:firstColumn="0" w:lastColumn="0" w:oddVBand="0" w:evenVBand="0" w:oddHBand="1" w:evenHBand="0" w:firstRowFirstColumn="0" w:firstRowLastColumn="0" w:lastRowFirstColumn="0" w:lastRowLastColumn="0"/>
            </w:pPr>
            <w:r w:rsidRPr="0049708A">
              <w:t>energy and buildings</w:t>
            </w:r>
          </w:p>
        </w:tc>
      </w:tr>
      <w:tr w:rsidR="00CE6756" w14:paraId="57C466FC" w14:textId="77777777" w:rsidTr="00CE6756">
        <w:tc>
          <w:tcPr>
            <w:cnfStyle w:val="001000000000" w:firstRow="0" w:lastRow="0" w:firstColumn="1" w:lastColumn="0" w:oddVBand="0" w:evenVBand="0" w:oddHBand="0" w:evenHBand="0" w:firstRowFirstColumn="0" w:firstRowLastColumn="0" w:lastRowFirstColumn="0" w:lastRowLastColumn="0"/>
            <w:tcW w:w="1786" w:type="dxa"/>
            <w:vAlign w:val="top"/>
          </w:tcPr>
          <w:p w14:paraId="12362CE5" w14:textId="4DBB0DDA" w:rsidR="00CE6756" w:rsidRDefault="00CE6756" w:rsidP="00CE6756">
            <w:pPr>
              <w:spacing w:before="0" w:after="200" w:line="276" w:lineRule="auto"/>
              <w:ind w:firstLine="0"/>
              <w:jc w:val="left"/>
            </w:pPr>
            <w:r w:rsidRPr="0049708A">
              <w:t>10</w:t>
            </w:r>
          </w:p>
        </w:tc>
        <w:tc>
          <w:tcPr>
            <w:tcW w:w="1788" w:type="dxa"/>
            <w:vAlign w:val="top"/>
          </w:tcPr>
          <w:p w14:paraId="43650E01" w14:textId="1C0F326C"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atmospheric chemistry and physics</w:t>
            </w:r>
          </w:p>
        </w:tc>
        <w:tc>
          <w:tcPr>
            <w:tcW w:w="1789" w:type="dxa"/>
            <w:vAlign w:val="top"/>
          </w:tcPr>
          <w:p w14:paraId="16D71AC7" w14:textId="0E0E24FE"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cryosphere</w:t>
            </w:r>
          </w:p>
        </w:tc>
        <w:tc>
          <w:tcPr>
            <w:tcW w:w="1789" w:type="dxa"/>
            <w:vAlign w:val="top"/>
          </w:tcPr>
          <w:p w14:paraId="552AF2AC" w14:textId="4FADC9E3"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climate risk management</w:t>
            </w:r>
          </w:p>
        </w:tc>
        <w:tc>
          <w:tcPr>
            <w:tcW w:w="1789" w:type="dxa"/>
            <w:vAlign w:val="top"/>
          </w:tcPr>
          <w:p w14:paraId="6BAC9B08" w14:textId="5926EA59" w:rsidR="00CE6756" w:rsidRDefault="00CE6756" w:rsidP="00CE6756">
            <w:pPr>
              <w:spacing w:before="0" w:after="200" w:line="276" w:lineRule="auto"/>
              <w:ind w:firstLine="0"/>
              <w:jc w:val="left"/>
              <w:cnfStyle w:val="000000000000" w:firstRow="0" w:lastRow="0" w:firstColumn="0" w:lastColumn="0" w:oddVBand="0" w:evenVBand="0" w:oddHBand="0" w:evenHBand="0" w:firstRowFirstColumn="0" w:firstRowLastColumn="0" w:lastRowFirstColumn="0" w:lastRowLastColumn="0"/>
            </w:pPr>
            <w:r w:rsidRPr="0049708A">
              <w:t>environmental science &amp; technology</w:t>
            </w:r>
          </w:p>
        </w:tc>
      </w:tr>
    </w:tbl>
    <w:p w14:paraId="44B04BA2" w14:textId="4B71E634" w:rsidR="00CE6756" w:rsidRDefault="00CE6756" w:rsidP="00CE6756">
      <w:pPr>
        <w:pStyle w:val="Sourcenote"/>
        <w:rPr>
          <w:rFonts w:asciiTheme="majorHAnsi" w:hAnsiTheme="majorHAnsi" w:cstheme="majorHAnsi"/>
        </w:rPr>
      </w:pPr>
      <w:r w:rsidRPr="00CE6756">
        <w:rPr>
          <w:rFonts w:asciiTheme="majorHAnsi" w:hAnsiTheme="majorHAnsi" w:cstheme="majorHAnsi"/>
        </w:rPr>
        <w:t xml:space="preserve">Source : analyse Cour des comptes d’après les citations harmonisées du GIEC et les métadonnées des fichiers bibliographiques du GIEC. Les journaux sont classés par ordre de citation décroissante pour le périmètre considéré. S’agissant des groupes isolés du GIEC, seuls les journaux avec une spécificité par groupe du GIEC d’au moins 80 % sont considérés. Les journaux généralistes (Science, Nature, PNAS, </w:t>
      </w:r>
      <w:r w:rsidRPr="00CE6756">
        <w:rPr>
          <w:rFonts w:asciiTheme="majorHAnsi" w:hAnsiTheme="majorHAnsi" w:cstheme="majorHAnsi"/>
          <w:color w:val="000000"/>
        </w:rPr>
        <w:t>Nature Communications</w:t>
      </w:r>
      <w:r w:rsidRPr="00CE6756">
        <w:rPr>
          <w:rFonts w:asciiTheme="majorHAnsi" w:hAnsiTheme="majorHAnsi" w:cstheme="majorHAnsi"/>
        </w:rPr>
        <w:t>, PLOS ONE) sont écartés car ils couvrent l’ensemble du périmètre scientifique, y compris en dehors du périmètre du GIEC. L’archive « ssrn electronic journal », employée en sciences sociales et qui ne constitue pas un journal mais un espace de dépôt de prépublications pour des disciplines variées, a également été écartée car elle n’est pas référencée dans InCites.</w:t>
      </w:r>
    </w:p>
    <w:p w14:paraId="4235A36E" w14:textId="7346EAAE" w:rsidR="00F24D74" w:rsidRPr="00F24D74" w:rsidRDefault="00832A0D" w:rsidP="000A18B8">
      <w:pPr>
        <w:pStyle w:val="Titre1"/>
      </w:pPr>
      <w:bookmarkStart w:id="14" w:name="_Toc146894367"/>
      <w:bookmarkStart w:id="15" w:name="_Toc146894388"/>
      <w:bookmarkStart w:id="16" w:name="_Toc146894589"/>
      <w:bookmarkStart w:id="17" w:name="_Toc147217095"/>
      <w:bookmarkStart w:id="18" w:name="_Toc146894368"/>
      <w:bookmarkStart w:id="19" w:name="_Toc146894389"/>
      <w:bookmarkStart w:id="20" w:name="_Toc146894590"/>
      <w:bookmarkStart w:id="21" w:name="_Toc147217096"/>
      <w:bookmarkStart w:id="22" w:name="_Toc160528285"/>
      <w:bookmarkEnd w:id="14"/>
      <w:bookmarkEnd w:id="15"/>
      <w:bookmarkEnd w:id="16"/>
      <w:bookmarkEnd w:id="17"/>
      <w:bookmarkEnd w:id="18"/>
      <w:bookmarkEnd w:id="19"/>
      <w:bookmarkEnd w:id="20"/>
      <w:bookmarkEnd w:id="21"/>
      <w:r w:rsidRPr="00832A0D">
        <w:lastRenderedPageBreak/>
        <w:t>Méthodes sémantiques</w:t>
      </w:r>
      <w:r w:rsidR="003D32FE">
        <w:t xml:space="preserve"> mobilisées</w:t>
      </w:r>
      <w:bookmarkEnd w:id="22"/>
    </w:p>
    <w:p w14:paraId="34D4830A" w14:textId="43C2500C" w:rsidR="004356B9" w:rsidRDefault="004B7280" w:rsidP="00C11691">
      <w:r w:rsidRPr="00F25DF8">
        <w:t xml:space="preserve">Afin d’identifier les contenus spécifiques relatifs à l’adaptation, tout particulièrement pour les données où une telle classification n’existe pas, </w:t>
      </w:r>
      <w:r>
        <w:t xml:space="preserve">la Cour s’appuie notamment </w:t>
      </w:r>
      <w:r w:rsidRPr="00F25DF8">
        <w:t>sur des analyses sémantiques</w:t>
      </w:r>
      <w:r>
        <w:t xml:space="preserve">. </w:t>
      </w:r>
      <w:r w:rsidR="00DC14D6" w:rsidRPr="00DC14D6">
        <w:t xml:space="preserve">La recherche qui porte sur l'adaptation au changement climatique est difficile à délimiter. Elle est par nature interdisciplinaire et ne peut être définie simplement comme un sous-ensemble </w:t>
      </w:r>
      <w:r w:rsidR="004356B9">
        <w:t>disciplinaire ou la somme de quelques-uns</w:t>
      </w:r>
      <w:r w:rsidR="00DC14D6" w:rsidRPr="00DC14D6">
        <w:t>.</w:t>
      </w:r>
      <w:r w:rsidR="004356B9">
        <w:t xml:space="preserve"> </w:t>
      </w:r>
    </w:p>
    <w:p w14:paraId="00F3840D" w14:textId="77777777" w:rsidR="00193DAC" w:rsidRDefault="004356B9" w:rsidP="00193DAC">
      <w:pPr>
        <w:ind w:firstLine="0"/>
      </w:pPr>
      <w:r w:rsidRPr="004356B9">
        <w:t xml:space="preserve">Pour ce faire, </w:t>
      </w:r>
      <w:r>
        <w:t>deux</w:t>
      </w:r>
      <w:r w:rsidRPr="004356B9">
        <w:t xml:space="preserve"> méthodes ont considérées</w:t>
      </w:r>
      <w:r w:rsidR="00193DAC">
        <w:t xml:space="preserve"> : </w:t>
      </w:r>
    </w:p>
    <w:p w14:paraId="5072E145" w14:textId="38EC95EA" w:rsidR="00193DAC" w:rsidRDefault="00193DAC" w:rsidP="00BD2F9D">
      <w:pPr>
        <w:pStyle w:val="Paragraphedeliste"/>
        <w:numPr>
          <w:ilvl w:val="0"/>
          <w:numId w:val="42"/>
        </w:numPr>
      </w:pPr>
      <w:r>
        <w:t xml:space="preserve">Une </w:t>
      </w:r>
      <w:r w:rsidR="004356B9" w:rsidRPr="004356B9">
        <w:t xml:space="preserve">analyse </w:t>
      </w:r>
      <w:r>
        <w:t>ciblée sur la recherche en adaptation en adaptant la stratégie</w:t>
      </w:r>
      <w:r w:rsidR="004356B9" w:rsidRPr="004356B9">
        <w:t xml:space="preserve"> par l'étude scientométrique de l'adaptation au changement climatique menée par Nalau et Verrall (202</w:t>
      </w:r>
      <w:r w:rsidR="004356B9">
        <w:t>1)</w:t>
      </w:r>
      <w:r w:rsidR="009442C3">
        <w:rPr>
          <w:rStyle w:val="Appelnotedebasdep"/>
        </w:rPr>
        <w:footnoteReference w:id="13"/>
      </w:r>
      <w:r>
        <w:t xml:space="preserve"> ; </w:t>
      </w:r>
    </w:p>
    <w:p w14:paraId="72179B50" w14:textId="2779C24D" w:rsidR="00673D06" w:rsidRDefault="00193DAC" w:rsidP="00193DAC">
      <w:pPr>
        <w:pStyle w:val="Paragraphedeliste"/>
        <w:numPr>
          <w:ilvl w:val="0"/>
          <w:numId w:val="42"/>
        </w:numPr>
      </w:pPr>
      <w:r>
        <w:t xml:space="preserve">Une </w:t>
      </w:r>
      <w:r w:rsidRPr="004356B9">
        <w:t xml:space="preserve">analyse </w:t>
      </w:r>
      <w:r>
        <w:t xml:space="preserve">plus large </w:t>
      </w:r>
      <w:r w:rsidR="00BD2F9D">
        <w:t>fondée sur le</w:t>
      </w:r>
      <w:r w:rsidRPr="004356B9">
        <w:t xml:space="preserve"> corpus </w:t>
      </w:r>
      <w:r>
        <w:t>formé par l</w:t>
      </w:r>
      <w:r w:rsidRPr="004356B9">
        <w:t>es rapports du GIEC</w:t>
      </w:r>
      <w:r w:rsidR="00206A89">
        <w:t xml:space="preserve">. </w:t>
      </w:r>
    </w:p>
    <w:p w14:paraId="0748DA89" w14:textId="77777777" w:rsidR="00193DAC" w:rsidRPr="004B7280" w:rsidRDefault="00193DAC" w:rsidP="00193DAC">
      <w:pPr>
        <w:ind w:firstLine="0"/>
      </w:pPr>
    </w:p>
    <w:p w14:paraId="19E10EB1" w14:textId="1371D84F" w:rsidR="00BD2F9D" w:rsidRDefault="00C93A02" w:rsidP="00145409">
      <w:pPr>
        <w:rPr>
          <w:u w:val="single"/>
        </w:rPr>
      </w:pPr>
      <w:r>
        <w:rPr>
          <w:u w:val="single"/>
        </w:rPr>
        <w:t xml:space="preserve">I. </w:t>
      </w:r>
      <w:r w:rsidR="004B7280" w:rsidRPr="004B7280">
        <w:rPr>
          <w:u w:val="single"/>
        </w:rPr>
        <w:t xml:space="preserve">Approche sémantique adaptée </w:t>
      </w:r>
      <w:r w:rsidR="00193DAC">
        <w:rPr>
          <w:u w:val="single"/>
        </w:rPr>
        <w:t>de Nalau et Verall (2021)</w:t>
      </w:r>
    </w:p>
    <w:p w14:paraId="208A9470" w14:textId="0E7D7651" w:rsidR="00BD2F9D" w:rsidRPr="004B7280" w:rsidRDefault="00BD2F9D" w:rsidP="00145409">
      <w:pPr>
        <w:rPr>
          <w:u w:val="single"/>
        </w:rPr>
      </w:pPr>
      <w:r>
        <w:rPr>
          <w:u w:val="single"/>
        </w:rPr>
        <w:t>I</w:t>
      </w:r>
      <w:r w:rsidR="00D33E6D">
        <w:rPr>
          <w:u w:val="single"/>
        </w:rPr>
        <w:t>.</w:t>
      </w:r>
      <w:r>
        <w:rPr>
          <w:u w:val="single"/>
        </w:rPr>
        <w:t xml:space="preserve">A. </w:t>
      </w:r>
      <w:r w:rsidR="00D33E6D">
        <w:rPr>
          <w:u w:val="single"/>
        </w:rPr>
        <w:t>Présentation et a</w:t>
      </w:r>
      <w:r>
        <w:rPr>
          <w:u w:val="single"/>
        </w:rPr>
        <w:t>daptation de la méthode</w:t>
      </w:r>
    </w:p>
    <w:p w14:paraId="0A4048EC" w14:textId="4D1C9863" w:rsidR="00BD2F9D" w:rsidRDefault="00145409" w:rsidP="00145409">
      <w:r>
        <w:t>Une stratégie de recherche de phrases propres aux recherches dans le domaine de l’adaptation</w:t>
      </w:r>
      <w:r w:rsidRPr="00F25DF8">
        <w:t xml:space="preserve"> a été identifiée </w:t>
      </w:r>
      <w:r w:rsidR="00BD2F9D">
        <w:t xml:space="preserve">par la Cour </w:t>
      </w:r>
      <w:r w:rsidRPr="00F25DF8">
        <w:t>dans la littérature scientifique</w:t>
      </w:r>
      <w:r>
        <w:t xml:space="preserve"> (Nalau et </w:t>
      </w:r>
      <w:r w:rsidR="00DC14D6">
        <w:t>Verrall</w:t>
      </w:r>
      <w:r>
        <w:t xml:space="preserve">, 2021). </w:t>
      </w:r>
      <w:r w:rsidR="00BD2F9D">
        <w:t>Cette citée est notamment citée dans le rapport du deuxième groupe du GIEC</w:t>
      </w:r>
      <w:r w:rsidR="00BD2F9D">
        <w:rPr>
          <w:rStyle w:val="Appelnotedebasdep"/>
        </w:rPr>
        <w:footnoteReference w:id="14"/>
      </w:r>
      <w:r w:rsidR="00BD2F9D">
        <w:t xml:space="preserve">. Quant à Mme </w:t>
      </w:r>
      <w:r w:rsidR="00BD2F9D" w:rsidRPr="00BD2F9D">
        <w:t>Johanna</w:t>
      </w:r>
      <w:r w:rsidR="00BD2F9D">
        <w:t xml:space="preserve"> Nalau, coautrice de l’étude, elle est </w:t>
      </w:r>
      <w:r w:rsidR="00BD2F9D" w:rsidRPr="00BD2F9D">
        <w:rPr>
          <w:i/>
        </w:rPr>
        <w:t>lead author</w:t>
      </w:r>
      <w:r w:rsidR="00BD2F9D">
        <w:t xml:space="preserve"> d’un chapitre du deuxième groupe du GIEC (« </w:t>
      </w:r>
      <w:r w:rsidR="00BD2F9D" w:rsidRPr="00BD2F9D">
        <w:t>Chapter 15: Small Islands</w:t>
      </w:r>
      <w:r w:rsidR="00BD2F9D">
        <w:t> ») ; ce qui indique qu’il s’agit d’une scientifique reconnue dans ce domaine.</w:t>
      </w:r>
    </w:p>
    <w:p w14:paraId="7C43F51F" w14:textId="291BE8A8" w:rsidR="00145409" w:rsidRDefault="00145409" w:rsidP="00145409">
      <w:r>
        <w:t xml:space="preserve">Afin d’assurer la meilleure couverture possible du périmètre concerné et renforcer la portée et la pertinence des observations de l’enquête, </w:t>
      </w:r>
      <w:r w:rsidR="004B7280">
        <w:t xml:space="preserve">la Cour </w:t>
      </w:r>
      <w:r>
        <w:t>a sollicité de nombreux acteurs de la recherche pour bénéficier de leurs recommandations sur l’approche proposée, le cas échéant en proposant d’éventuel</w:t>
      </w:r>
      <w:r w:rsidR="00DC14D6">
        <w:t>s</w:t>
      </w:r>
      <w:r>
        <w:t xml:space="preserve"> ajustements ou des requêtes alternatives.</w:t>
      </w:r>
    </w:p>
    <w:p w14:paraId="561F98FA" w14:textId="11415DD0" w:rsidR="00145409" w:rsidRDefault="00145409" w:rsidP="00145409">
      <w:r>
        <w:t xml:space="preserve">Les phrases clés de Nalau et </w:t>
      </w:r>
      <w:r w:rsidR="00DC14D6">
        <w:t>Verrall</w:t>
      </w:r>
      <w:r>
        <w:t xml:space="preserve"> (2021) ont été progressivement adaptées et élargies en prenant en compte les recommandations des acteurs : </w:t>
      </w:r>
    </w:p>
    <w:p w14:paraId="153CA330" w14:textId="700AAD52" w:rsidR="00145409" w:rsidRDefault="00145409" w:rsidP="00145409">
      <w:pPr>
        <w:pStyle w:val="Paragraphedeliste"/>
        <w:numPr>
          <w:ilvl w:val="0"/>
          <w:numId w:val="31"/>
        </w:numPr>
        <w:spacing w:before="0" w:after="0"/>
        <w:contextualSpacing w:val="0"/>
      </w:pPr>
      <w:r>
        <w:t xml:space="preserve">Suivant un conseil de la DGRI convergent avec celui d’autres acteurs de la recherche, les critères d’exclusion proposés par Nalau et </w:t>
      </w:r>
      <w:r w:rsidR="00DC14D6">
        <w:t>Verrall</w:t>
      </w:r>
      <w:r>
        <w:t xml:space="preserve"> (2021) n’ont pas été appliqués afin de ne pas écarter a priori les sciences de l’adaptation fondées sur la nature et le vivant</w:t>
      </w:r>
      <w:r>
        <w:rPr>
          <w:rStyle w:val="Appelnotedebasdep"/>
        </w:rPr>
        <w:footnoteReference w:id="15"/>
      </w:r>
      <w:r>
        <w:t xml:space="preserve"> ; </w:t>
      </w:r>
    </w:p>
    <w:p w14:paraId="524D1F49" w14:textId="3BD95621" w:rsidR="00145409" w:rsidRDefault="00145409" w:rsidP="00145409">
      <w:pPr>
        <w:pStyle w:val="Paragraphedeliste"/>
        <w:numPr>
          <w:ilvl w:val="0"/>
          <w:numId w:val="31"/>
        </w:numPr>
        <w:spacing w:before="0" w:after="0"/>
        <w:contextualSpacing w:val="0"/>
      </w:pPr>
      <w:r>
        <w:t>Suivant une recommandation de l’ANR, la phrase « coping with » (faire face) a été généralisée</w:t>
      </w:r>
      <w:r>
        <w:rPr>
          <w:rStyle w:val="Appelnotedebasdep"/>
        </w:rPr>
        <w:footnoteReference w:id="16"/>
      </w:r>
      <w:r w:rsidR="004B7280">
        <w:t xml:space="preserve"> ; </w:t>
      </w:r>
    </w:p>
    <w:p w14:paraId="73B60BDB" w14:textId="16F5E321" w:rsidR="00145409" w:rsidRDefault="00145409" w:rsidP="00145409">
      <w:pPr>
        <w:pStyle w:val="Paragraphedeliste"/>
        <w:numPr>
          <w:ilvl w:val="0"/>
          <w:numId w:val="31"/>
        </w:numPr>
        <w:spacing w:before="0" w:after="0"/>
        <w:contextualSpacing w:val="0"/>
      </w:pPr>
      <w:r>
        <w:t>Une version traduite en français a notamment été proposée afin de pouvoir élargir le spectre de l’analyse aux contenus francophones tels que les productions des sciences humaines et sociales retracées dans HAL</w:t>
      </w:r>
      <w:r w:rsidR="00193DAC">
        <w:t xml:space="preserve"> ou certains projets financés par l’ANR</w:t>
      </w:r>
      <w:r>
        <w:t>.</w:t>
      </w:r>
    </w:p>
    <w:p w14:paraId="29F1D6AF" w14:textId="77777777" w:rsidR="00145409" w:rsidRDefault="00145409" w:rsidP="00145409">
      <w:pPr>
        <w:pStyle w:val="Paragraphedeliste"/>
      </w:pPr>
    </w:p>
    <w:p w14:paraId="3DC5B072" w14:textId="763D45E7" w:rsidR="00145409" w:rsidRDefault="00145409" w:rsidP="00145409">
      <w:r>
        <w:t xml:space="preserve">Afin de pouvoir suivre une part importante du financement de la recherche française en adaptation, des diligences approfondies ont été mises en œuvre avec le concours </w:t>
      </w:r>
      <w:r w:rsidR="00193DAC">
        <w:t>de l’ANR.</w:t>
      </w:r>
      <w:r>
        <w:t xml:space="preserve"> Ces diligences ont porté jusqu’au grain des codes sources respectifs employés pour les filtrages sémantiques appliqués </w:t>
      </w:r>
      <w:r w:rsidRPr="009A5280">
        <w:t>aux données des projets lauréats mises à disposition par l’A</w:t>
      </w:r>
      <w:r>
        <w:t>gence</w:t>
      </w:r>
      <w:r w:rsidRPr="009A5280">
        <w:t xml:space="preserve"> (hors-PIA).</w:t>
      </w:r>
      <w:r>
        <w:t xml:space="preserve"> Des stratégies d’analyse sémantiques partagées ont ainsi pu être mise en œuvre. </w:t>
      </w:r>
    </w:p>
    <w:p w14:paraId="640EDA15" w14:textId="5BB3C741" w:rsidR="00145409" w:rsidRDefault="00145409" w:rsidP="00145409">
      <w:r>
        <w:t xml:space="preserve">Sur la base des phrases de Nalau et </w:t>
      </w:r>
      <w:r w:rsidR="00DC14D6">
        <w:t>Verrall</w:t>
      </w:r>
      <w:r>
        <w:t xml:space="preserve"> (2021) « généralisées » (voir ci-dessus), les échanges </w:t>
      </w:r>
      <w:r w:rsidRPr="009A5280">
        <w:t xml:space="preserve">méthodologiques </w:t>
      </w:r>
      <w:r>
        <w:t xml:space="preserve">entre </w:t>
      </w:r>
      <w:r w:rsidR="00193DAC">
        <w:t>la Cour</w:t>
      </w:r>
      <w:r>
        <w:t xml:space="preserve"> e</w:t>
      </w:r>
      <w:r w:rsidR="00193DAC">
        <w:t>t</w:t>
      </w:r>
      <w:r>
        <w:t xml:space="preserve"> l’ANR </w:t>
      </w:r>
      <w:r w:rsidRPr="009A5280">
        <w:t>ont permis de converger vers trois modalités d’analyses complémentaires</w:t>
      </w:r>
      <w:r w:rsidR="00193DAC">
        <w:t xml:space="preserve"> testées sur les données ouvertes de l’ANR</w:t>
      </w:r>
      <w:r>
        <w:t xml:space="preserve">, avec un traitement harmonisé des contenus sémantiques : </w:t>
      </w:r>
    </w:p>
    <w:p w14:paraId="28D13B36" w14:textId="58C309C6" w:rsidR="00145409" w:rsidRDefault="00145409" w:rsidP="004B7280">
      <w:pPr>
        <w:pStyle w:val="Listepuces2"/>
      </w:pPr>
      <w:r>
        <w:t xml:space="preserve">Recherche </w:t>
      </w:r>
      <w:r w:rsidRPr="006334C0">
        <w:t>par phrase</w:t>
      </w:r>
      <w:r>
        <w:t xml:space="preserve">, au plus proche de l’étude de Nalau et </w:t>
      </w:r>
      <w:r w:rsidR="00DC14D6">
        <w:t>Verrall</w:t>
      </w:r>
      <w:r>
        <w:t xml:space="preserve"> (79 projets ANR identifiés) ; </w:t>
      </w:r>
    </w:p>
    <w:p w14:paraId="7DD94973" w14:textId="63FCA8EA" w:rsidR="00145409" w:rsidRDefault="00145409" w:rsidP="004B7280">
      <w:pPr>
        <w:pStyle w:val="Listepuces2"/>
      </w:pPr>
      <w:r>
        <w:t xml:space="preserve">Recherche par racines de mots clés, sans tenir compte de l’ordre des mots, avec une racine imposée et toutes les terminaisons possibles (552 projets </w:t>
      </w:r>
      <w:r w:rsidR="00193DAC">
        <w:t xml:space="preserve">ANR </w:t>
      </w:r>
      <w:r>
        <w:t xml:space="preserve">trouvés) ; </w:t>
      </w:r>
    </w:p>
    <w:p w14:paraId="2391AD61" w14:textId="379FBE93" w:rsidR="00145409" w:rsidRDefault="00145409" w:rsidP="00145409">
      <w:pPr>
        <w:pStyle w:val="Listepuces2"/>
      </w:pPr>
      <w:r w:rsidRPr="00653354">
        <w:t xml:space="preserve">Recherche </w:t>
      </w:r>
      <w:r>
        <w:t>fondée sur les</w:t>
      </w:r>
      <w:r w:rsidRPr="00653354">
        <w:t xml:space="preserve"> caractères contenus dans les mots clés</w:t>
      </w:r>
      <w:r>
        <w:t xml:space="preserve">, </w:t>
      </w:r>
      <w:r w:rsidRPr="00653354">
        <w:t>également sans tenir compte de l</w:t>
      </w:r>
      <w:r>
        <w:t xml:space="preserve">eur </w:t>
      </w:r>
      <w:r w:rsidRPr="00653354">
        <w:t>ordre </w:t>
      </w:r>
      <w:r>
        <w:t>(</w:t>
      </w:r>
      <w:r w:rsidRPr="00653354">
        <w:t xml:space="preserve">674 projets </w:t>
      </w:r>
      <w:r>
        <w:t>détectés).</w:t>
      </w:r>
      <w:r w:rsidRPr="00653354">
        <w:t xml:space="preserve"> </w:t>
      </w:r>
    </w:p>
    <w:p w14:paraId="26B53782" w14:textId="6C00A2A0" w:rsidR="00145409" w:rsidRDefault="00145409" w:rsidP="00145409">
      <w:r>
        <w:t>Par construction, il est attendu que la première méthode de détection des contenus en lien avec l’adaptation est la plus spécifique et la troisième la plus sensible ; la deuxième méthode permet d’offrir un compromis entre ces deux objectifs</w:t>
      </w:r>
      <w:r w:rsidR="00193DAC">
        <w:t xml:space="preserve"> (voir résultats ci-dessous)</w:t>
      </w:r>
      <w:r>
        <w:t xml:space="preserve">. </w:t>
      </w:r>
    </w:p>
    <w:p w14:paraId="111F44D4" w14:textId="73ED8D38" w:rsidR="00145409" w:rsidRDefault="00145409" w:rsidP="00145409">
      <w:r w:rsidRPr="004B7280">
        <w:t>De façon importante, ces méthodes de détection sont valables quel</w:t>
      </w:r>
      <w:r w:rsidR="009B4806">
        <w:t>les</w:t>
      </w:r>
      <w:r w:rsidRPr="004B7280">
        <w:t xml:space="preserve"> que soi</w:t>
      </w:r>
      <w:r w:rsidR="009B4806">
        <w:t>en</w:t>
      </w:r>
      <w:r w:rsidRPr="004B7280">
        <w:t xml:space="preserve">t les phrases clés originellement employées. </w:t>
      </w:r>
      <w:r w:rsidR="004B7280" w:rsidRPr="004B7280">
        <w:t xml:space="preserve">L’approche par </w:t>
      </w:r>
      <w:r w:rsidR="00193DAC">
        <w:t xml:space="preserve">racines de </w:t>
      </w:r>
      <w:r w:rsidR="004B7280" w:rsidRPr="004B7280">
        <w:t>mots clés</w:t>
      </w:r>
      <w:r w:rsidR="004B7280">
        <w:t xml:space="preserve">, qui offre un bon compromis entre spécificité et </w:t>
      </w:r>
      <w:r w:rsidR="009B4806">
        <w:t>généralité</w:t>
      </w:r>
      <w:r w:rsidR="004B7280">
        <w:t>,</w:t>
      </w:r>
      <w:r w:rsidR="004B7280" w:rsidRPr="004B7280">
        <w:t xml:space="preserve"> a été employée de façon systématique.</w:t>
      </w:r>
      <w:r w:rsidR="004B7280">
        <w:t xml:space="preserve"> </w:t>
      </w:r>
      <w:r w:rsidR="00DB7186">
        <w:t xml:space="preserve">Quant aux </w:t>
      </w:r>
      <w:r w:rsidR="0095106E">
        <w:t>critères d’exclusion</w:t>
      </w:r>
      <w:r w:rsidR="00DB7186">
        <w:t>, ils</w:t>
      </w:r>
      <w:r w:rsidR="0095106E">
        <w:t xml:space="preserve"> n’ont pas été employés dans les analyses retracées dans le rapport</w:t>
      </w:r>
      <w:r w:rsidR="00DB7186">
        <w:t xml:space="preserve"> pour ne pas réduire </w:t>
      </w:r>
      <w:r w:rsidR="00324548">
        <w:t>le champ couvert</w:t>
      </w:r>
      <w:r w:rsidR="00DB7186">
        <w:t xml:space="preserve"> par l’adaptation.</w:t>
      </w:r>
      <w:r w:rsidR="00324548">
        <w:t xml:space="preserve"> Au demeurant, l’évaluation des critères d’exclusion sur la base des citations du GIEC pour la France indiquent qu’ils ont un effet très modeste</w:t>
      </w:r>
      <w:r w:rsidR="008E4C6D">
        <w:t>, mais qu’ils peuvent être intéressants pour distinguer différents types de recherche en adaptation.</w:t>
      </w:r>
    </w:p>
    <w:p w14:paraId="16136885" w14:textId="0B66EE91" w:rsidR="007D5B86" w:rsidRDefault="007D5B86" w:rsidP="00145409">
      <w:r>
        <w:t xml:space="preserve">La cohérence générale de la méthode a pu être appréciée sur la base des </w:t>
      </w:r>
      <w:r w:rsidRPr="007D5B86">
        <w:t>données des citations du GIEC croisées avec HAL</w:t>
      </w:r>
      <w:r>
        <w:t xml:space="preserve"> (voir résultats ci-dessous)</w:t>
      </w:r>
      <w:r w:rsidRPr="007D5B86">
        <w:t>.</w:t>
      </w:r>
      <w:r>
        <w:t xml:space="preserve"> Cette approche</w:t>
      </w:r>
      <w:r w:rsidR="00324548">
        <w:t xml:space="preserve"> </w:t>
      </w:r>
      <w:r>
        <w:t xml:space="preserve">permet une </w:t>
      </w:r>
      <w:r w:rsidR="000B14CC">
        <w:t>analyse de cohérence</w:t>
      </w:r>
      <w:r>
        <w:t xml:space="preserve"> externe sur la base d’un corpus indépendant</w:t>
      </w:r>
      <w:r w:rsidR="00324548">
        <w:t>.</w:t>
      </w:r>
    </w:p>
    <w:p w14:paraId="43A118D8" w14:textId="6ECD2572" w:rsidR="007D5B86" w:rsidRDefault="007D5B86" w:rsidP="00145409">
      <w:r>
        <w:t>En outre, s</w:t>
      </w:r>
      <w:r w:rsidR="00145409">
        <w:t>ur la base des ensembles de projets détectés comme étant susceptible de concourir aux recherches dans le domaine de l’adaptation, l’</w:t>
      </w:r>
      <w:r w:rsidR="004B7280">
        <w:t>ANR a</w:t>
      </w:r>
      <w:r w:rsidR="00145409">
        <w:t xml:space="preserve"> </w:t>
      </w:r>
      <w:r w:rsidR="004B7280">
        <w:t>mobilisé</w:t>
      </w:r>
      <w:r w:rsidR="00145409">
        <w:t xml:space="preserve"> des experts de cette thématique afin de pouvoir écarter les faux positifs (projets ANR détectés par erreur) et se rapprocher au maximum du périmètre du programme national d’adaptation au changement climatique (PNACC).</w:t>
      </w:r>
      <w:r w:rsidR="00193DAC">
        <w:t xml:space="preserve"> L’erreur commise par cette méthode a ainsi pu être estimée de façon précise (voir résultats ci-dessous).</w:t>
      </w:r>
      <w:r>
        <w:t xml:space="preserve"> </w:t>
      </w:r>
    </w:p>
    <w:p w14:paraId="4F227A7A" w14:textId="7E130962" w:rsidR="000B14CC" w:rsidRDefault="000B14CC" w:rsidP="00145409">
      <w:r>
        <w:t>Enfin une vérification additionnelle a pu être réalisée sur la base d’un jeu de données ouvert constitué par le CIRAD (voir résultats ci-dessous).</w:t>
      </w:r>
    </w:p>
    <w:p w14:paraId="154DDEB5" w14:textId="77777777" w:rsidR="00C93A02" w:rsidRDefault="00C93A02" w:rsidP="00145409"/>
    <w:p w14:paraId="75BA4EFF" w14:textId="2EB92C41" w:rsidR="007D5B86" w:rsidRDefault="00C93A02" w:rsidP="00C93A02">
      <w:pPr>
        <w:rPr>
          <w:u w:val="single"/>
        </w:rPr>
      </w:pPr>
      <w:r w:rsidRPr="00C93A02">
        <w:rPr>
          <w:u w:val="single"/>
        </w:rPr>
        <w:t>I.</w:t>
      </w:r>
      <w:r w:rsidR="00D33E6D">
        <w:rPr>
          <w:u w:val="single"/>
        </w:rPr>
        <w:t>B</w:t>
      </w:r>
      <w:r w:rsidRPr="00C93A02">
        <w:rPr>
          <w:u w:val="single"/>
        </w:rPr>
        <w:t>. Analyse</w:t>
      </w:r>
      <w:r w:rsidR="007D5B86">
        <w:rPr>
          <w:u w:val="single"/>
        </w:rPr>
        <w:t>s</w:t>
      </w:r>
      <w:r w:rsidRPr="00C93A02">
        <w:rPr>
          <w:u w:val="single"/>
        </w:rPr>
        <w:t xml:space="preserve"> de cohérence de l’approche </w:t>
      </w:r>
      <w:r w:rsidR="003A5FF4" w:rsidRPr="00C93A02">
        <w:rPr>
          <w:u w:val="single"/>
        </w:rPr>
        <w:t>dérivée</w:t>
      </w:r>
      <w:r w:rsidRPr="00C93A02">
        <w:rPr>
          <w:u w:val="single"/>
        </w:rPr>
        <w:t xml:space="preserve"> de Nalau et Verall (2021) </w:t>
      </w:r>
      <w:r w:rsidR="007D5B86">
        <w:rPr>
          <w:u w:val="single"/>
        </w:rPr>
        <w:t>avec différents jeux de données pour la France</w:t>
      </w:r>
    </w:p>
    <w:p w14:paraId="33EBDA08" w14:textId="7C8B3390" w:rsidR="00C93A02" w:rsidRPr="00C93A02" w:rsidRDefault="007D5B86" w:rsidP="00C93A02">
      <w:pPr>
        <w:rPr>
          <w:u w:val="single"/>
        </w:rPr>
      </w:pPr>
      <w:r>
        <w:rPr>
          <w:u w:val="single"/>
        </w:rPr>
        <w:t xml:space="preserve">I. B.1. Cohérence générale évaluée à partir des </w:t>
      </w:r>
      <w:r w:rsidR="00C93A02" w:rsidRPr="00C93A02">
        <w:rPr>
          <w:u w:val="single"/>
        </w:rPr>
        <w:t xml:space="preserve">données </w:t>
      </w:r>
      <w:r w:rsidR="00C93A02" w:rsidRPr="00C93A02">
        <w:rPr>
          <w:rFonts w:eastAsia="Calibri"/>
          <w:u w:val="single"/>
        </w:rPr>
        <w:t>de</w:t>
      </w:r>
      <w:r>
        <w:rPr>
          <w:rFonts w:eastAsia="Calibri"/>
          <w:u w:val="single"/>
        </w:rPr>
        <w:t>s</w:t>
      </w:r>
      <w:r w:rsidR="00C93A02" w:rsidRPr="00C93A02">
        <w:rPr>
          <w:rFonts w:eastAsia="Calibri"/>
          <w:u w:val="single"/>
        </w:rPr>
        <w:t xml:space="preserve"> citations du GIEC croisées avec HAL</w:t>
      </w:r>
      <w:r>
        <w:rPr>
          <w:rFonts w:eastAsia="Calibri"/>
          <w:u w:val="single"/>
        </w:rPr>
        <w:t xml:space="preserve"> (France).</w:t>
      </w:r>
    </w:p>
    <w:p w14:paraId="0CE43731" w14:textId="739E48ED" w:rsidR="00C93A02" w:rsidRPr="00C93A02" w:rsidRDefault="00C93A02" w:rsidP="00C93A02">
      <w:r>
        <w:lastRenderedPageBreak/>
        <w:t xml:space="preserve">Si l’on prend le groupe 2 du GIEC comme référence (groupe de prédilection pour les travaux relatifs à la recherche en adaptation), il apparaît que la première méthode de détection par phrases des contenus en lien avec l’adaptation est la plus spécifique et la troisième par caractères la plus sensible ; la deuxième méthode par racines de mots clés permet d’offrir un compromis entre ces deux objectifs (voir résultats ci-dessous). </w:t>
      </w:r>
    </w:p>
    <w:p w14:paraId="2A26030E" w14:textId="2A630EC1" w:rsidR="00C93A02" w:rsidRPr="00C93A02" w:rsidRDefault="00C93A02" w:rsidP="00C93A02">
      <w:pPr>
        <w:pStyle w:val="Titretableau"/>
        <w:rPr>
          <w:rFonts w:eastAsia="Calibri"/>
        </w:rPr>
      </w:pPr>
      <w:r>
        <w:rPr>
          <w:rFonts w:eastAsia="Calibri"/>
        </w:rPr>
        <w:t> Taux de détection suivant les groupes du GIEC.</w:t>
      </w:r>
    </w:p>
    <w:tbl>
      <w:tblPr>
        <w:tblStyle w:val="Grilledutableau"/>
        <w:tblW w:w="0" w:type="auto"/>
        <w:tblLayout w:type="fixed"/>
        <w:tblLook w:val="04A0" w:firstRow="1" w:lastRow="0" w:firstColumn="1" w:lastColumn="0" w:noHBand="0" w:noVBand="1"/>
      </w:tblPr>
      <w:tblGrid>
        <w:gridCol w:w="1555"/>
        <w:gridCol w:w="1559"/>
        <w:gridCol w:w="1701"/>
        <w:gridCol w:w="1276"/>
        <w:gridCol w:w="1275"/>
        <w:gridCol w:w="1696"/>
      </w:tblGrid>
      <w:tr w:rsidR="00C93A02" w:rsidRPr="00C93A02" w14:paraId="71DC8EAF" w14:textId="77777777" w:rsidTr="00C93A0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tcPr>
          <w:p w14:paraId="0F500907" w14:textId="77777777" w:rsidR="00C93A02" w:rsidRPr="00C93A02" w:rsidRDefault="00C93A02" w:rsidP="00C93A02">
            <w:pPr>
              <w:spacing w:before="0" w:after="160" w:line="259" w:lineRule="auto"/>
              <w:ind w:firstLine="0"/>
              <w:jc w:val="center"/>
              <w:rPr>
                <w:rFonts w:ascii="Calibri" w:eastAsia="Calibri" w:hAnsi="Calibri" w:cs="Times New Roman"/>
                <w:sz w:val="22"/>
              </w:rPr>
            </w:pPr>
            <w:r w:rsidRPr="00C93A02">
              <w:rPr>
                <w:rFonts w:ascii="Calibri" w:eastAsia="Calibri" w:hAnsi="Calibri" w:cs="Times New Roman"/>
                <w:sz w:val="22"/>
              </w:rPr>
              <w:t>Modalité d’analyse sémantique</w:t>
            </w:r>
          </w:p>
        </w:tc>
        <w:tc>
          <w:tcPr>
            <w:tcW w:w="1559" w:type="dxa"/>
          </w:tcPr>
          <w:p w14:paraId="0C771C53" w14:textId="77777777" w:rsidR="00C93A02" w:rsidRPr="00C93A02" w:rsidRDefault="00C93A02" w:rsidP="00C93A02">
            <w:pPr>
              <w:spacing w:before="0" w:after="160" w:line="259" w:lineRule="auto"/>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Critères d’exclusion dérivés de Nalau et Verall</w:t>
            </w:r>
          </w:p>
        </w:tc>
        <w:tc>
          <w:tcPr>
            <w:tcW w:w="1701" w:type="dxa"/>
          </w:tcPr>
          <w:p w14:paraId="50865A44" w14:textId="77777777" w:rsidR="00C93A02" w:rsidRPr="00C93A02" w:rsidRDefault="00C93A02" w:rsidP="00C93A02">
            <w:pPr>
              <w:spacing w:before="0" w:after="160" w:line="259" w:lineRule="auto"/>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Ensemble des groupes du GIEC</w:t>
            </w:r>
          </w:p>
        </w:tc>
        <w:tc>
          <w:tcPr>
            <w:tcW w:w="1276" w:type="dxa"/>
          </w:tcPr>
          <w:p w14:paraId="4D41D2CC" w14:textId="77777777" w:rsidR="00C93A02" w:rsidRPr="00C93A02" w:rsidRDefault="00C93A02" w:rsidP="00C93A02">
            <w:pPr>
              <w:spacing w:before="0" w:after="160" w:line="259" w:lineRule="auto"/>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Groupe 1</w:t>
            </w:r>
          </w:p>
        </w:tc>
        <w:tc>
          <w:tcPr>
            <w:tcW w:w="1275" w:type="dxa"/>
          </w:tcPr>
          <w:p w14:paraId="7140ABC1" w14:textId="77777777" w:rsidR="00C93A02" w:rsidRPr="00C93A02" w:rsidRDefault="00C93A02" w:rsidP="00C93A02">
            <w:pPr>
              <w:spacing w:before="0" w:after="160" w:line="259" w:lineRule="auto"/>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Groupe 2</w:t>
            </w:r>
          </w:p>
        </w:tc>
        <w:tc>
          <w:tcPr>
            <w:tcW w:w="1696" w:type="dxa"/>
          </w:tcPr>
          <w:p w14:paraId="590A0E89" w14:textId="77777777" w:rsidR="00C93A02" w:rsidRPr="00C93A02" w:rsidRDefault="00C93A02" w:rsidP="00C93A02">
            <w:pPr>
              <w:spacing w:before="0" w:after="160" w:line="259" w:lineRule="auto"/>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Groupe 3</w:t>
            </w:r>
          </w:p>
        </w:tc>
      </w:tr>
      <w:tr w:rsidR="00C93A02" w:rsidRPr="00C93A02" w14:paraId="6A305F33" w14:textId="77777777" w:rsidTr="00C93A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Merge w:val="restart"/>
          </w:tcPr>
          <w:p w14:paraId="355AC583" w14:textId="77777777" w:rsidR="00C93A02" w:rsidRPr="00C93A02" w:rsidRDefault="00C93A02" w:rsidP="00C93A02">
            <w:pPr>
              <w:spacing w:before="0" w:after="160" w:line="259" w:lineRule="auto"/>
              <w:ind w:firstLine="0"/>
              <w:jc w:val="center"/>
              <w:rPr>
                <w:rFonts w:ascii="Calibri" w:eastAsia="Calibri" w:hAnsi="Calibri" w:cs="Times New Roman"/>
                <w:sz w:val="22"/>
              </w:rPr>
            </w:pPr>
            <w:r w:rsidRPr="00C93A02">
              <w:rPr>
                <w:rFonts w:ascii="Calibri" w:eastAsia="Calibri" w:hAnsi="Calibri" w:cs="Times New Roman"/>
                <w:sz w:val="22"/>
              </w:rPr>
              <w:t>Totaux documents</w:t>
            </w:r>
          </w:p>
        </w:tc>
        <w:tc>
          <w:tcPr>
            <w:tcW w:w="1559" w:type="dxa"/>
          </w:tcPr>
          <w:p w14:paraId="765808D4"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Écartés</w:t>
            </w:r>
          </w:p>
        </w:tc>
        <w:tc>
          <w:tcPr>
            <w:tcW w:w="1701" w:type="dxa"/>
          </w:tcPr>
          <w:p w14:paraId="2A57AFD8"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2 422</w:t>
            </w:r>
          </w:p>
        </w:tc>
        <w:tc>
          <w:tcPr>
            <w:tcW w:w="1276" w:type="dxa"/>
          </w:tcPr>
          <w:p w14:paraId="0101AAA5"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1 407</w:t>
            </w:r>
          </w:p>
        </w:tc>
        <w:tc>
          <w:tcPr>
            <w:tcW w:w="1275" w:type="dxa"/>
          </w:tcPr>
          <w:p w14:paraId="37FC1FC2"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891</w:t>
            </w:r>
          </w:p>
        </w:tc>
        <w:tc>
          <w:tcPr>
            <w:tcW w:w="1696" w:type="dxa"/>
          </w:tcPr>
          <w:p w14:paraId="5E5B2892"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394</w:t>
            </w:r>
          </w:p>
        </w:tc>
      </w:tr>
      <w:tr w:rsidR="00C93A02" w:rsidRPr="00C93A02" w14:paraId="49C70E34" w14:textId="77777777" w:rsidTr="00C93A02">
        <w:tc>
          <w:tcPr>
            <w:cnfStyle w:val="001000000000" w:firstRow="0" w:lastRow="0" w:firstColumn="1" w:lastColumn="0" w:oddVBand="0" w:evenVBand="0" w:oddHBand="0" w:evenHBand="0" w:firstRowFirstColumn="0" w:firstRowLastColumn="0" w:lastRowFirstColumn="0" w:lastRowLastColumn="0"/>
            <w:tcW w:w="1555" w:type="dxa"/>
            <w:vMerge/>
          </w:tcPr>
          <w:p w14:paraId="5CC11286" w14:textId="77777777" w:rsidR="00C93A02" w:rsidRPr="00C93A02" w:rsidRDefault="00C93A02" w:rsidP="00C93A02">
            <w:pPr>
              <w:spacing w:before="0" w:after="160" w:line="259" w:lineRule="auto"/>
              <w:ind w:firstLine="0"/>
              <w:jc w:val="center"/>
              <w:rPr>
                <w:rFonts w:ascii="Calibri" w:eastAsia="Calibri" w:hAnsi="Calibri" w:cs="Times New Roman"/>
                <w:sz w:val="22"/>
              </w:rPr>
            </w:pPr>
          </w:p>
        </w:tc>
        <w:tc>
          <w:tcPr>
            <w:tcW w:w="1559" w:type="dxa"/>
          </w:tcPr>
          <w:p w14:paraId="75F08734"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Considérés</w:t>
            </w:r>
          </w:p>
        </w:tc>
        <w:tc>
          <w:tcPr>
            <w:tcW w:w="1701" w:type="dxa"/>
          </w:tcPr>
          <w:p w14:paraId="277FBEA4"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2 142</w:t>
            </w:r>
          </w:p>
        </w:tc>
        <w:tc>
          <w:tcPr>
            <w:tcW w:w="1276" w:type="dxa"/>
          </w:tcPr>
          <w:p w14:paraId="6AC17104"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1 342</w:t>
            </w:r>
          </w:p>
        </w:tc>
        <w:tc>
          <w:tcPr>
            <w:tcW w:w="1275" w:type="dxa"/>
          </w:tcPr>
          <w:p w14:paraId="1A19A5AF"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675</w:t>
            </w:r>
          </w:p>
        </w:tc>
        <w:tc>
          <w:tcPr>
            <w:tcW w:w="1696" w:type="dxa"/>
          </w:tcPr>
          <w:p w14:paraId="64F5EE62"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384</w:t>
            </w:r>
          </w:p>
        </w:tc>
      </w:tr>
      <w:tr w:rsidR="00C93A02" w:rsidRPr="00C93A02" w14:paraId="71E8C143" w14:textId="77777777" w:rsidTr="00C93A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Merge w:val="restart"/>
          </w:tcPr>
          <w:p w14:paraId="7478AA3E" w14:textId="77777777" w:rsidR="00C93A02" w:rsidRPr="00C93A02" w:rsidRDefault="00C93A02" w:rsidP="00C93A02">
            <w:pPr>
              <w:spacing w:before="0" w:after="160" w:line="259" w:lineRule="auto"/>
              <w:ind w:firstLine="0"/>
              <w:jc w:val="center"/>
              <w:rPr>
                <w:rFonts w:ascii="Calibri" w:eastAsia="Calibri" w:hAnsi="Calibri" w:cs="Times New Roman"/>
                <w:sz w:val="22"/>
              </w:rPr>
            </w:pPr>
            <w:r w:rsidRPr="00C93A02">
              <w:rPr>
                <w:rFonts w:ascii="Calibri" w:eastAsia="Calibri" w:hAnsi="Calibri" w:cs="Times New Roman"/>
                <w:sz w:val="22"/>
              </w:rPr>
              <w:t xml:space="preserve"> % détectés par phrase</w:t>
            </w:r>
          </w:p>
        </w:tc>
        <w:tc>
          <w:tcPr>
            <w:tcW w:w="1559" w:type="dxa"/>
          </w:tcPr>
          <w:p w14:paraId="5428060E"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Écartés</w:t>
            </w:r>
          </w:p>
        </w:tc>
        <w:tc>
          <w:tcPr>
            <w:tcW w:w="1701" w:type="dxa"/>
          </w:tcPr>
          <w:p w14:paraId="1E7D38E8"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3 %</w:t>
            </w:r>
          </w:p>
        </w:tc>
        <w:tc>
          <w:tcPr>
            <w:tcW w:w="1276" w:type="dxa"/>
          </w:tcPr>
          <w:p w14:paraId="44FCCC63"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1 %</w:t>
            </w:r>
          </w:p>
        </w:tc>
        <w:tc>
          <w:tcPr>
            <w:tcW w:w="1275" w:type="dxa"/>
          </w:tcPr>
          <w:p w14:paraId="3139BCF8"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7 %</w:t>
            </w:r>
          </w:p>
        </w:tc>
        <w:tc>
          <w:tcPr>
            <w:tcW w:w="1696" w:type="dxa"/>
          </w:tcPr>
          <w:p w14:paraId="0F13491E"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2 %</w:t>
            </w:r>
          </w:p>
        </w:tc>
      </w:tr>
      <w:tr w:rsidR="00C93A02" w:rsidRPr="00C93A02" w14:paraId="577F87F1" w14:textId="77777777" w:rsidTr="00C93A02">
        <w:tc>
          <w:tcPr>
            <w:cnfStyle w:val="001000000000" w:firstRow="0" w:lastRow="0" w:firstColumn="1" w:lastColumn="0" w:oddVBand="0" w:evenVBand="0" w:oddHBand="0" w:evenHBand="0" w:firstRowFirstColumn="0" w:firstRowLastColumn="0" w:lastRowFirstColumn="0" w:lastRowLastColumn="0"/>
            <w:tcW w:w="1555" w:type="dxa"/>
            <w:vMerge/>
          </w:tcPr>
          <w:p w14:paraId="094B1E7B" w14:textId="77777777" w:rsidR="00C93A02" w:rsidRPr="00C93A02" w:rsidRDefault="00C93A02" w:rsidP="00C93A02">
            <w:pPr>
              <w:spacing w:before="0" w:after="160" w:line="259" w:lineRule="auto"/>
              <w:ind w:firstLine="0"/>
              <w:jc w:val="center"/>
              <w:rPr>
                <w:rFonts w:ascii="Calibri" w:eastAsia="Calibri" w:hAnsi="Calibri" w:cs="Times New Roman"/>
                <w:sz w:val="22"/>
              </w:rPr>
            </w:pPr>
          </w:p>
        </w:tc>
        <w:tc>
          <w:tcPr>
            <w:tcW w:w="1559" w:type="dxa"/>
          </w:tcPr>
          <w:p w14:paraId="21DD00F8"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Considérés</w:t>
            </w:r>
          </w:p>
        </w:tc>
        <w:tc>
          <w:tcPr>
            <w:tcW w:w="1701" w:type="dxa"/>
          </w:tcPr>
          <w:p w14:paraId="367AEAFC"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2 %</w:t>
            </w:r>
          </w:p>
        </w:tc>
        <w:tc>
          <w:tcPr>
            <w:tcW w:w="1276" w:type="dxa"/>
          </w:tcPr>
          <w:p w14:paraId="24958490"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1 %</w:t>
            </w:r>
          </w:p>
        </w:tc>
        <w:tc>
          <w:tcPr>
            <w:tcW w:w="1275" w:type="dxa"/>
          </w:tcPr>
          <w:p w14:paraId="170B58F0"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5 %</w:t>
            </w:r>
          </w:p>
        </w:tc>
        <w:tc>
          <w:tcPr>
            <w:tcW w:w="1696" w:type="dxa"/>
          </w:tcPr>
          <w:p w14:paraId="295FB3C0"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2 %</w:t>
            </w:r>
          </w:p>
        </w:tc>
      </w:tr>
      <w:tr w:rsidR="00C93A02" w:rsidRPr="00C93A02" w14:paraId="7A462B3E" w14:textId="77777777" w:rsidTr="00C93A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Merge w:val="restart"/>
          </w:tcPr>
          <w:p w14:paraId="528F156C" w14:textId="77777777" w:rsidR="00C93A02" w:rsidRPr="00C93A02" w:rsidRDefault="00C93A02" w:rsidP="00C93A02">
            <w:pPr>
              <w:spacing w:before="0" w:after="160" w:line="259" w:lineRule="auto"/>
              <w:ind w:firstLine="0"/>
              <w:jc w:val="center"/>
              <w:rPr>
                <w:rFonts w:ascii="Calibri" w:eastAsia="Calibri" w:hAnsi="Calibri" w:cs="Times New Roman"/>
                <w:sz w:val="22"/>
              </w:rPr>
            </w:pPr>
            <w:r w:rsidRPr="00C93A02">
              <w:rPr>
                <w:rFonts w:ascii="Calibri" w:eastAsia="Calibri" w:hAnsi="Calibri" w:cs="Times New Roman"/>
                <w:sz w:val="22"/>
              </w:rPr>
              <w:t>% détectés par racines de mots</w:t>
            </w:r>
          </w:p>
        </w:tc>
        <w:tc>
          <w:tcPr>
            <w:tcW w:w="1559" w:type="dxa"/>
          </w:tcPr>
          <w:p w14:paraId="5635A726"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Écartés</w:t>
            </w:r>
          </w:p>
        </w:tc>
        <w:tc>
          <w:tcPr>
            <w:tcW w:w="1701" w:type="dxa"/>
          </w:tcPr>
          <w:p w14:paraId="635A519E"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11 %</w:t>
            </w:r>
          </w:p>
        </w:tc>
        <w:tc>
          <w:tcPr>
            <w:tcW w:w="1276" w:type="dxa"/>
          </w:tcPr>
          <w:p w14:paraId="1AF9FB0F"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6 %</w:t>
            </w:r>
          </w:p>
        </w:tc>
        <w:tc>
          <w:tcPr>
            <w:tcW w:w="1275" w:type="dxa"/>
          </w:tcPr>
          <w:p w14:paraId="03212E11"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22 %</w:t>
            </w:r>
          </w:p>
        </w:tc>
        <w:tc>
          <w:tcPr>
            <w:tcW w:w="1696" w:type="dxa"/>
          </w:tcPr>
          <w:p w14:paraId="2AF0FDD2"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8 %</w:t>
            </w:r>
          </w:p>
        </w:tc>
      </w:tr>
      <w:tr w:rsidR="00C93A02" w:rsidRPr="00C93A02" w14:paraId="27608C1C" w14:textId="77777777" w:rsidTr="00C93A02">
        <w:tc>
          <w:tcPr>
            <w:cnfStyle w:val="001000000000" w:firstRow="0" w:lastRow="0" w:firstColumn="1" w:lastColumn="0" w:oddVBand="0" w:evenVBand="0" w:oddHBand="0" w:evenHBand="0" w:firstRowFirstColumn="0" w:firstRowLastColumn="0" w:lastRowFirstColumn="0" w:lastRowLastColumn="0"/>
            <w:tcW w:w="1555" w:type="dxa"/>
            <w:vMerge/>
          </w:tcPr>
          <w:p w14:paraId="70F5E514" w14:textId="77777777" w:rsidR="00C93A02" w:rsidRPr="00C93A02" w:rsidRDefault="00C93A02" w:rsidP="00C93A02">
            <w:pPr>
              <w:spacing w:before="0" w:after="160" w:line="259" w:lineRule="auto"/>
              <w:ind w:firstLine="0"/>
              <w:jc w:val="center"/>
              <w:rPr>
                <w:rFonts w:ascii="Calibri" w:eastAsia="Calibri" w:hAnsi="Calibri" w:cs="Times New Roman"/>
                <w:sz w:val="22"/>
              </w:rPr>
            </w:pPr>
          </w:p>
        </w:tc>
        <w:tc>
          <w:tcPr>
            <w:tcW w:w="1559" w:type="dxa"/>
          </w:tcPr>
          <w:p w14:paraId="24621E56"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Considérés</w:t>
            </w:r>
          </w:p>
        </w:tc>
        <w:tc>
          <w:tcPr>
            <w:tcW w:w="1701" w:type="dxa"/>
          </w:tcPr>
          <w:p w14:paraId="63329CA3"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9 %</w:t>
            </w:r>
          </w:p>
        </w:tc>
        <w:tc>
          <w:tcPr>
            <w:tcW w:w="1276" w:type="dxa"/>
          </w:tcPr>
          <w:p w14:paraId="27AFF96D"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6 %</w:t>
            </w:r>
          </w:p>
        </w:tc>
        <w:tc>
          <w:tcPr>
            <w:tcW w:w="1275" w:type="dxa"/>
          </w:tcPr>
          <w:p w14:paraId="250086C4"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16 %</w:t>
            </w:r>
          </w:p>
        </w:tc>
        <w:tc>
          <w:tcPr>
            <w:tcW w:w="1696" w:type="dxa"/>
          </w:tcPr>
          <w:p w14:paraId="203EE193"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8 %</w:t>
            </w:r>
          </w:p>
        </w:tc>
      </w:tr>
      <w:tr w:rsidR="00C93A02" w:rsidRPr="00C93A02" w14:paraId="7DE0D319" w14:textId="77777777" w:rsidTr="00C93A0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5" w:type="dxa"/>
            <w:vMerge w:val="restart"/>
          </w:tcPr>
          <w:p w14:paraId="3DEBE17E" w14:textId="77777777" w:rsidR="00C93A02" w:rsidRPr="00C93A02" w:rsidRDefault="00C93A02" w:rsidP="00C93A02">
            <w:pPr>
              <w:spacing w:before="0" w:after="160" w:line="259" w:lineRule="auto"/>
              <w:ind w:firstLine="0"/>
              <w:jc w:val="center"/>
              <w:rPr>
                <w:rFonts w:ascii="Calibri" w:eastAsia="Calibri" w:hAnsi="Calibri" w:cs="Times New Roman"/>
                <w:sz w:val="22"/>
              </w:rPr>
            </w:pPr>
            <w:r w:rsidRPr="00C93A02">
              <w:rPr>
                <w:rFonts w:ascii="Calibri" w:eastAsia="Calibri" w:hAnsi="Calibri" w:cs="Times New Roman"/>
                <w:sz w:val="22"/>
              </w:rPr>
              <w:t>% détectés par caractères</w:t>
            </w:r>
          </w:p>
        </w:tc>
        <w:tc>
          <w:tcPr>
            <w:tcW w:w="1559" w:type="dxa"/>
          </w:tcPr>
          <w:p w14:paraId="1D367804"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Écartés</w:t>
            </w:r>
          </w:p>
        </w:tc>
        <w:tc>
          <w:tcPr>
            <w:tcW w:w="1701" w:type="dxa"/>
          </w:tcPr>
          <w:p w14:paraId="4DA6F1BE"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14 %</w:t>
            </w:r>
          </w:p>
        </w:tc>
        <w:tc>
          <w:tcPr>
            <w:tcW w:w="1276" w:type="dxa"/>
          </w:tcPr>
          <w:p w14:paraId="1894DA05"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9 %</w:t>
            </w:r>
          </w:p>
        </w:tc>
        <w:tc>
          <w:tcPr>
            <w:tcW w:w="1275" w:type="dxa"/>
          </w:tcPr>
          <w:p w14:paraId="217CBD0C"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24 %</w:t>
            </w:r>
          </w:p>
        </w:tc>
        <w:tc>
          <w:tcPr>
            <w:tcW w:w="1696" w:type="dxa"/>
          </w:tcPr>
          <w:p w14:paraId="496D36EC" w14:textId="77777777" w:rsidR="00C93A02" w:rsidRPr="00C93A02" w:rsidRDefault="00C93A02" w:rsidP="00C93A02">
            <w:pPr>
              <w:spacing w:before="0" w:after="160" w:line="259" w:lineRule="auto"/>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11 %</w:t>
            </w:r>
          </w:p>
        </w:tc>
      </w:tr>
      <w:tr w:rsidR="00C93A02" w:rsidRPr="00C93A02" w14:paraId="6D7171CC" w14:textId="77777777" w:rsidTr="00C93A02">
        <w:tc>
          <w:tcPr>
            <w:cnfStyle w:val="001000000000" w:firstRow="0" w:lastRow="0" w:firstColumn="1" w:lastColumn="0" w:oddVBand="0" w:evenVBand="0" w:oddHBand="0" w:evenHBand="0" w:firstRowFirstColumn="0" w:firstRowLastColumn="0" w:lastRowFirstColumn="0" w:lastRowLastColumn="0"/>
            <w:tcW w:w="1555" w:type="dxa"/>
            <w:vMerge/>
          </w:tcPr>
          <w:p w14:paraId="350F5E58" w14:textId="77777777" w:rsidR="00C93A02" w:rsidRPr="00C93A02" w:rsidRDefault="00C93A02" w:rsidP="00C93A02">
            <w:pPr>
              <w:spacing w:before="0" w:after="160" w:line="259" w:lineRule="auto"/>
              <w:ind w:firstLine="0"/>
              <w:jc w:val="center"/>
              <w:rPr>
                <w:rFonts w:ascii="Calibri" w:eastAsia="Calibri" w:hAnsi="Calibri" w:cs="Times New Roman"/>
                <w:sz w:val="22"/>
              </w:rPr>
            </w:pPr>
          </w:p>
        </w:tc>
        <w:tc>
          <w:tcPr>
            <w:tcW w:w="1559" w:type="dxa"/>
          </w:tcPr>
          <w:p w14:paraId="29A31DFA"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Considérés</w:t>
            </w:r>
          </w:p>
        </w:tc>
        <w:tc>
          <w:tcPr>
            <w:tcW w:w="1701" w:type="dxa"/>
          </w:tcPr>
          <w:p w14:paraId="71C1C8A6"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11 %</w:t>
            </w:r>
          </w:p>
        </w:tc>
        <w:tc>
          <w:tcPr>
            <w:tcW w:w="1276" w:type="dxa"/>
          </w:tcPr>
          <w:p w14:paraId="323B776D"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8 %</w:t>
            </w:r>
          </w:p>
        </w:tc>
        <w:tc>
          <w:tcPr>
            <w:tcW w:w="1275" w:type="dxa"/>
          </w:tcPr>
          <w:p w14:paraId="2E615276"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17 %</w:t>
            </w:r>
          </w:p>
        </w:tc>
        <w:tc>
          <w:tcPr>
            <w:tcW w:w="1696" w:type="dxa"/>
          </w:tcPr>
          <w:p w14:paraId="66A545BE" w14:textId="77777777" w:rsidR="00C93A02" w:rsidRPr="00C93A02" w:rsidRDefault="00C93A02" w:rsidP="00C93A02">
            <w:pPr>
              <w:spacing w:before="0" w:after="160" w:line="259" w:lineRule="auto"/>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C93A02">
              <w:rPr>
                <w:rFonts w:ascii="Calibri" w:eastAsia="Calibri" w:hAnsi="Calibri" w:cs="Times New Roman"/>
                <w:sz w:val="22"/>
              </w:rPr>
              <w:t>10 %</w:t>
            </w:r>
          </w:p>
        </w:tc>
      </w:tr>
    </w:tbl>
    <w:p w14:paraId="6CA20E0E" w14:textId="0CD4CD3A" w:rsidR="00C93A02" w:rsidRPr="00A459F2" w:rsidRDefault="00C93A02" w:rsidP="00A459F2">
      <w:pPr>
        <w:pStyle w:val="Sourcenote"/>
        <w:rPr>
          <w:rFonts w:eastAsia="Calibri"/>
        </w:rPr>
      </w:pPr>
      <w:r>
        <w:rPr>
          <w:rFonts w:eastAsia="Calibri"/>
        </w:rPr>
        <w:t>Source : analyse Cour des comptes</w:t>
      </w:r>
      <w:r w:rsidR="00A459F2">
        <w:rPr>
          <w:rFonts w:eastAsia="Calibri"/>
        </w:rPr>
        <w:t xml:space="preserve"> d’après HAL</w:t>
      </w:r>
      <w:r>
        <w:rPr>
          <w:rFonts w:eastAsia="Calibri"/>
        </w:rPr>
        <w:t xml:space="preserve">. </w:t>
      </w:r>
      <w:r w:rsidRPr="00C93A02">
        <w:rPr>
          <w:rFonts w:eastAsia="Calibri"/>
        </w:rPr>
        <w:t xml:space="preserve">Les % sont exprimés par rapport aux totaux avec les critères d’exclusion écartés (première ligne du tableau). </w:t>
      </w:r>
    </w:p>
    <w:p w14:paraId="7D6D5436" w14:textId="77777777" w:rsidR="00ED5711" w:rsidRDefault="00FA7982" w:rsidP="00FA7982">
      <w:r>
        <w:t>Sur un plan plus qualitatif, les trois méthodes sémantiques employées permettent de capter préférentiellement les profils scientifiques représentés dans le 2</w:t>
      </w:r>
      <w:r w:rsidRPr="005E68D6">
        <w:rPr>
          <w:vertAlign w:val="superscript"/>
        </w:rPr>
        <w:t>e</w:t>
      </w:r>
      <w:r>
        <w:t xml:space="preserve"> groupe du GIEC</w:t>
      </w:r>
      <w:r w:rsidR="00A459F2">
        <w:t xml:space="preserve"> (voir tableaux ci-dessous</w:t>
      </w:r>
      <w:r w:rsidR="00ED5711">
        <w:t xml:space="preserve"> et notamment le dernier pour la définition des codes employés pour les disciplines et disposer d’une comparaison avec l’ensemble du périmètre couvert par HAL</w:t>
      </w:r>
      <w:r w:rsidR="00A459F2">
        <w:t>)</w:t>
      </w:r>
      <w:r>
        <w:t xml:space="preserve">. </w:t>
      </w:r>
    </w:p>
    <w:p w14:paraId="4E8843CA" w14:textId="7CB9C2A6" w:rsidR="00FA7982" w:rsidRDefault="00FA7982" w:rsidP="00FA7982">
      <w:r>
        <w:t xml:space="preserve">Les critères d’exclusion jouent un rôle négligeable, à l’exception du groupe 2 où leur effet est plus marqué. Leur emploi conduit à augmenter la part relative des sciences humaines et sociales au détriment des sciences du vivant, ce qui est cohérent avec la sémantique mobilisée. </w:t>
      </w:r>
    </w:p>
    <w:p w14:paraId="1D8CDB61" w14:textId="77777777" w:rsidR="00A459F2" w:rsidRPr="00A459F2" w:rsidRDefault="00A459F2" w:rsidP="00A459F2">
      <w:pPr>
        <w:pStyle w:val="Titretableau"/>
        <w:rPr>
          <w:rFonts w:eastAsia="Calibri"/>
        </w:rPr>
      </w:pPr>
      <w:r w:rsidRPr="00A459F2">
        <w:rPr>
          <w:rFonts w:eastAsia="Calibri"/>
        </w:rPr>
        <w:lastRenderedPageBreak/>
        <w:t>Profils disciplinaires des documents détectés par les méthodes sémantiques mises en œuvre. Les disciplines sont classées par effectifs décroissants.</w:t>
      </w:r>
    </w:p>
    <w:tbl>
      <w:tblPr>
        <w:tblStyle w:val="Grilledutableau"/>
        <w:tblW w:w="0" w:type="auto"/>
        <w:jc w:val="center"/>
        <w:tblInd w:w="0" w:type="dxa"/>
        <w:tblLayout w:type="fixed"/>
        <w:tblLook w:val="04A0" w:firstRow="1" w:lastRow="0" w:firstColumn="1" w:lastColumn="0" w:noHBand="0" w:noVBand="1"/>
      </w:tblPr>
      <w:tblGrid>
        <w:gridCol w:w="1555"/>
        <w:gridCol w:w="1559"/>
        <w:gridCol w:w="1701"/>
        <w:gridCol w:w="1276"/>
        <w:gridCol w:w="1275"/>
        <w:gridCol w:w="1696"/>
      </w:tblGrid>
      <w:tr w:rsidR="00A459F2" w:rsidRPr="00A459F2" w14:paraId="00C6FEF2" w14:textId="77777777" w:rsidTr="00A45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tcPr>
          <w:p w14:paraId="3FC8DC20" w14:textId="77777777" w:rsidR="00A459F2" w:rsidRPr="00A459F2" w:rsidRDefault="00A459F2" w:rsidP="00A459F2">
            <w:pPr>
              <w:spacing w:before="0" w:after="0"/>
              <w:ind w:firstLine="0"/>
              <w:jc w:val="center"/>
              <w:rPr>
                <w:rFonts w:ascii="Calibri" w:eastAsia="Calibri" w:hAnsi="Calibri" w:cs="Times New Roman"/>
                <w:sz w:val="22"/>
              </w:rPr>
            </w:pPr>
            <w:r w:rsidRPr="00A459F2">
              <w:rPr>
                <w:rFonts w:ascii="Calibri" w:eastAsia="Calibri" w:hAnsi="Calibri" w:cs="Times New Roman"/>
                <w:sz w:val="22"/>
              </w:rPr>
              <w:t>Modalité d’analyse sémantique</w:t>
            </w:r>
          </w:p>
        </w:tc>
        <w:tc>
          <w:tcPr>
            <w:tcW w:w="1559" w:type="dxa"/>
          </w:tcPr>
          <w:p w14:paraId="17B180D5" w14:textId="77777777" w:rsidR="00A459F2" w:rsidRPr="00A459F2" w:rsidRDefault="00A459F2" w:rsidP="00A459F2">
            <w:pPr>
              <w:spacing w:before="0" w:after="0"/>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Critères d’exclusion dérivés de Nalau et Verall</w:t>
            </w:r>
          </w:p>
        </w:tc>
        <w:tc>
          <w:tcPr>
            <w:tcW w:w="1701" w:type="dxa"/>
          </w:tcPr>
          <w:p w14:paraId="0FA8309E" w14:textId="77777777" w:rsidR="00A459F2" w:rsidRPr="00A459F2" w:rsidRDefault="00A459F2" w:rsidP="00A459F2">
            <w:pPr>
              <w:spacing w:before="0" w:after="0"/>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Ensemble des groupes du GIEC</w:t>
            </w:r>
          </w:p>
        </w:tc>
        <w:tc>
          <w:tcPr>
            <w:tcW w:w="1276" w:type="dxa"/>
          </w:tcPr>
          <w:p w14:paraId="425DCA95" w14:textId="77777777" w:rsidR="00A459F2" w:rsidRPr="00A459F2" w:rsidRDefault="00A459F2" w:rsidP="00A459F2">
            <w:pPr>
              <w:spacing w:before="0" w:after="0"/>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Groupe 1</w:t>
            </w:r>
          </w:p>
        </w:tc>
        <w:tc>
          <w:tcPr>
            <w:tcW w:w="1275" w:type="dxa"/>
          </w:tcPr>
          <w:p w14:paraId="23317DEA" w14:textId="77777777" w:rsidR="00A459F2" w:rsidRPr="00A459F2" w:rsidRDefault="00A459F2" w:rsidP="00A459F2">
            <w:pPr>
              <w:spacing w:before="0" w:after="0"/>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Groupe 2</w:t>
            </w:r>
          </w:p>
        </w:tc>
        <w:tc>
          <w:tcPr>
            <w:tcW w:w="1696" w:type="dxa"/>
          </w:tcPr>
          <w:p w14:paraId="3CB82DEF" w14:textId="77777777" w:rsidR="00A459F2" w:rsidRPr="00A459F2" w:rsidRDefault="00A459F2" w:rsidP="00A459F2">
            <w:pPr>
              <w:spacing w:before="0" w:after="0"/>
              <w:ind w:firstLine="0"/>
              <w:jc w:val="left"/>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Groupe 3</w:t>
            </w:r>
          </w:p>
        </w:tc>
      </w:tr>
      <w:tr w:rsidR="00A459F2" w:rsidRPr="00A459F2" w14:paraId="27FCBBF2" w14:textId="77777777" w:rsidTr="00A45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vMerge w:val="restart"/>
          </w:tcPr>
          <w:p w14:paraId="6D2F4A93" w14:textId="77777777" w:rsidR="00A459F2" w:rsidRPr="00A459F2" w:rsidRDefault="00A459F2" w:rsidP="00A459F2">
            <w:pPr>
              <w:spacing w:before="0" w:after="0"/>
              <w:ind w:firstLine="0"/>
              <w:jc w:val="center"/>
              <w:rPr>
                <w:rFonts w:ascii="Calibri" w:eastAsia="Calibri" w:hAnsi="Calibri" w:cs="Times New Roman"/>
                <w:sz w:val="22"/>
              </w:rPr>
            </w:pPr>
            <w:r w:rsidRPr="00A459F2">
              <w:rPr>
                <w:rFonts w:ascii="Calibri" w:eastAsia="Calibri" w:hAnsi="Calibri" w:cs="Times New Roman"/>
                <w:sz w:val="22"/>
              </w:rPr>
              <w:t>Détection par phrase</w:t>
            </w:r>
          </w:p>
        </w:tc>
        <w:tc>
          <w:tcPr>
            <w:tcW w:w="1559" w:type="dxa"/>
          </w:tcPr>
          <w:p w14:paraId="4A4CE03D"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Écartés</w:t>
            </w:r>
          </w:p>
        </w:tc>
        <w:tc>
          <w:tcPr>
            <w:tcW w:w="1701" w:type="dxa"/>
          </w:tcPr>
          <w:p w14:paraId="02436CB0"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 xml:space="preserve">sde (1er) </w:t>
            </w:r>
            <w:r w:rsidRPr="00A459F2">
              <w:rPr>
                <w:rFonts w:ascii="Calibri" w:eastAsia="Calibri" w:hAnsi="Calibri" w:cs="Times New Roman"/>
                <w:sz w:val="22"/>
                <w:lang w:val="en-US"/>
              </w:rPr>
              <w:br/>
              <w:t xml:space="preserve">sdv (2e) </w:t>
            </w:r>
            <w:r w:rsidRPr="00A459F2">
              <w:rPr>
                <w:rFonts w:ascii="Calibri" w:eastAsia="Calibri" w:hAnsi="Calibri" w:cs="Times New Roman"/>
                <w:sz w:val="22"/>
                <w:lang w:val="en-US"/>
              </w:rPr>
              <w:br/>
              <w:t xml:space="preserve">shs (3e) </w:t>
            </w:r>
            <w:r w:rsidRPr="00A459F2">
              <w:rPr>
                <w:rFonts w:ascii="Calibri" w:eastAsia="Calibri" w:hAnsi="Calibri" w:cs="Times New Roman"/>
                <w:sz w:val="22"/>
                <w:lang w:val="en-US"/>
              </w:rPr>
              <w:br/>
              <w:t>sdu (4e)</w:t>
            </w:r>
            <w:r w:rsidRPr="00A459F2">
              <w:rPr>
                <w:rFonts w:ascii="Calibri" w:eastAsia="Calibri" w:hAnsi="Calibri" w:cs="Times New Roman"/>
                <w:sz w:val="22"/>
                <w:lang w:val="en-US"/>
              </w:rPr>
              <w:br/>
              <w:t>phys (5e)</w:t>
            </w:r>
          </w:p>
        </w:tc>
        <w:tc>
          <w:tcPr>
            <w:tcW w:w="1276" w:type="dxa"/>
          </w:tcPr>
          <w:p w14:paraId="6FAD5E52"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69086D72"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035B9059"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(3e)</w:t>
            </w:r>
          </w:p>
          <w:p w14:paraId="6ABD6951"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sdv (4e)</w:t>
            </w:r>
            <w:r w:rsidRPr="00A459F2">
              <w:rPr>
                <w:rFonts w:ascii="Calibri" w:eastAsia="Calibri" w:hAnsi="Calibri" w:cs="Times New Roman"/>
                <w:sz w:val="22"/>
              </w:rPr>
              <w:br/>
              <w:t>Pas de 5e</w:t>
            </w:r>
          </w:p>
        </w:tc>
        <w:tc>
          <w:tcPr>
            <w:tcW w:w="1275" w:type="dxa"/>
          </w:tcPr>
          <w:p w14:paraId="7F7E3119"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272E82C5"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3E5B8E9E"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(3e)</w:t>
            </w:r>
          </w:p>
          <w:p w14:paraId="597B0F13"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60FE3746"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phys (5e)</w:t>
            </w:r>
          </w:p>
        </w:tc>
        <w:tc>
          <w:tcPr>
            <w:tcW w:w="1696" w:type="dxa"/>
          </w:tcPr>
          <w:p w14:paraId="139B5D70"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4A5C3F78"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4FFBB7C2"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06C56D2A"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5EF99602"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Pas de 5e</w:t>
            </w:r>
          </w:p>
        </w:tc>
      </w:tr>
      <w:tr w:rsidR="00A459F2" w:rsidRPr="00A459F2" w14:paraId="393F8128" w14:textId="77777777" w:rsidTr="00A459F2">
        <w:trPr>
          <w:trHeight w:val="1252"/>
          <w:jc w:val="center"/>
        </w:trPr>
        <w:tc>
          <w:tcPr>
            <w:cnfStyle w:val="001000000000" w:firstRow="0" w:lastRow="0" w:firstColumn="1" w:lastColumn="0" w:oddVBand="0" w:evenVBand="0" w:oddHBand="0" w:evenHBand="0" w:firstRowFirstColumn="0" w:firstRowLastColumn="0" w:lastRowFirstColumn="0" w:lastRowLastColumn="0"/>
            <w:tcW w:w="1555" w:type="dxa"/>
            <w:vMerge/>
          </w:tcPr>
          <w:p w14:paraId="25C2F800" w14:textId="77777777" w:rsidR="00A459F2" w:rsidRPr="00A459F2" w:rsidRDefault="00A459F2" w:rsidP="00A459F2">
            <w:pPr>
              <w:spacing w:before="0" w:after="0"/>
              <w:ind w:firstLine="0"/>
              <w:jc w:val="center"/>
              <w:rPr>
                <w:rFonts w:ascii="Calibri" w:eastAsia="Calibri" w:hAnsi="Calibri" w:cs="Times New Roman"/>
                <w:sz w:val="22"/>
              </w:rPr>
            </w:pPr>
          </w:p>
        </w:tc>
        <w:tc>
          <w:tcPr>
            <w:tcW w:w="1559" w:type="dxa"/>
          </w:tcPr>
          <w:p w14:paraId="43B0DD9C"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Considérés</w:t>
            </w:r>
          </w:p>
        </w:tc>
        <w:tc>
          <w:tcPr>
            <w:tcW w:w="1701" w:type="dxa"/>
          </w:tcPr>
          <w:p w14:paraId="733279B1"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72737B33"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534A5620"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65D6FA8A"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03567613"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phys (5e)</w:t>
            </w:r>
          </w:p>
        </w:tc>
        <w:tc>
          <w:tcPr>
            <w:tcW w:w="1276" w:type="dxa"/>
          </w:tcPr>
          <w:p w14:paraId="26FC66A2"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3BFA2361"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062C0181"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(3e)</w:t>
            </w:r>
          </w:p>
          <w:p w14:paraId="61426D5B"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sdv (4e)</w:t>
            </w:r>
            <w:r w:rsidRPr="00A459F2">
              <w:rPr>
                <w:rFonts w:ascii="Calibri" w:eastAsia="Calibri" w:hAnsi="Calibri" w:cs="Times New Roman"/>
                <w:sz w:val="22"/>
              </w:rPr>
              <w:br/>
              <w:t>Pas de 5e</w:t>
            </w:r>
          </w:p>
        </w:tc>
        <w:tc>
          <w:tcPr>
            <w:tcW w:w="1275" w:type="dxa"/>
          </w:tcPr>
          <w:p w14:paraId="4C6A1E70"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1E1E9B7C"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173FB400"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01E91036"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651FA189"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phys (5e)</w:t>
            </w:r>
          </w:p>
        </w:tc>
        <w:tc>
          <w:tcPr>
            <w:tcW w:w="1696" w:type="dxa"/>
          </w:tcPr>
          <w:p w14:paraId="0984EE46"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4BB5B451"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14D36CCF"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0E01EB76"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7AB2D26C"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Pas de 5e</w:t>
            </w:r>
          </w:p>
        </w:tc>
      </w:tr>
      <w:tr w:rsidR="00A459F2" w:rsidRPr="00A459F2" w14:paraId="47BD4089" w14:textId="77777777" w:rsidTr="00A45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vMerge w:val="restart"/>
          </w:tcPr>
          <w:p w14:paraId="544AA230" w14:textId="77777777" w:rsidR="00A459F2" w:rsidRPr="00A459F2" w:rsidRDefault="00A459F2" w:rsidP="00A459F2">
            <w:pPr>
              <w:spacing w:before="0" w:after="0"/>
              <w:ind w:firstLine="0"/>
              <w:jc w:val="center"/>
              <w:rPr>
                <w:rFonts w:ascii="Calibri" w:eastAsia="Calibri" w:hAnsi="Calibri" w:cs="Times New Roman"/>
                <w:sz w:val="22"/>
              </w:rPr>
            </w:pPr>
            <w:r w:rsidRPr="00A459F2">
              <w:rPr>
                <w:rFonts w:ascii="Calibri" w:eastAsia="Calibri" w:hAnsi="Calibri" w:cs="Times New Roman"/>
                <w:sz w:val="22"/>
              </w:rPr>
              <w:t>Détection par racines de mots</w:t>
            </w:r>
          </w:p>
        </w:tc>
        <w:tc>
          <w:tcPr>
            <w:tcW w:w="1559" w:type="dxa"/>
          </w:tcPr>
          <w:p w14:paraId="4E3CF04A"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Écartés</w:t>
            </w:r>
          </w:p>
        </w:tc>
        <w:tc>
          <w:tcPr>
            <w:tcW w:w="1701" w:type="dxa"/>
          </w:tcPr>
          <w:p w14:paraId="12DB3375"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7E51CA8B"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22D43BCC"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(3e)</w:t>
            </w:r>
          </w:p>
          <w:p w14:paraId="4306B9FB"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(4e)</w:t>
            </w:r>
          </w:p>
          <w:p w14:paraId="7419A6DA"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phys (5e)</w:t>
            </w:r>
          </w:p>
        </w:tc>
        <w:tc>
          <w:tcPr>
            <w:tcW w:w="1276" w:type="dxa"/>
          </w:tcPr>
          <w:p w14:paraId="1722DCC7"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(1er)</w:t>
            </w:r>
          </w:p>
          <w:p w14:paraId="2F7C8135"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(2e)</w:t>
            </w:r>
          </w:p>
          <w:p w14:paraId="56758999"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762C8706"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(4e)</w:t>
            </w:r>
          </w:p>
          <w:p w14:paraId="2544E638"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stat (5e)</w:t>
            </w:r>
          </w:p>
        </w:tc>
        <w:tc>
          <w:tcPr>
            <w:tcW w:w="1275" w:type="dxa"/>
          </w:tcPr>
          <w:p w14:paraId="5F40C1B1"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52538ADA"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6A02A815"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(3e)</w:t>
            </w:r>
          </w:p>
          <w:p w14:paraId="02F71423"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(4e)</w:t>
            </w:r>
          </w:p>
          <w:p w14:paraId="5BCC2268"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spi (5e)</w:t>
            </w:r>
          </w:p>
        </w:tc>
        <w:tc>
          <w:tcPr>
            <w:tcW w:w="1696" w:type="dxa"/>
          </w:tcPr>
          <w:p w14:paraId="4150E99E"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581F2A37"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3EA35553"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1B0D26B9"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62934B51"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Pas de 5e</w:t>
            </w:r>
          </w:p>
        </w:tc>
      </w:tr>
      <w:tr w:rsidR="00A459F2" w:rsidRPr="00A459F2" w14:paraId="52190F9B" w14:textId="77777777" w:rsidTr="00A459F2">
        <w:trPr>
          <w:jc w:val="center"/>
        </w:trPr>
        <w:tc>
          <w:tcPr>
            <w:cnfStyle w:val="001000000000" w:firstRow="0" w:lastRow="0" w:firstColumn="1" w:lastColumn="0" w:oddVBand="0" w:evenVBand="0" w:oddHBand="0" w:evenHBand="0" w:firstRowFirstColumn="0" w:firstRowLastColumn="0" w:lastRowFirstColumn="0" w:lastRowLastColumn="0"/>
            <w:tcW w:w="1555" w:type="dxa"/>
            <w:vMerge/>
          </w:tcPr>
          <w:p w14:paraId="4261A701" w14:textId="77777777" w:rsidR="00A459F2" w:rsidRPr="00A459F2" w:rsidRDefault="00A459F2" w:rsidP="00A459F2">
            <w:pPr>
              <w:spacing w:before="0" w:after="0"/>
              <w:ind w:firstLine="0"/>
              <w:jc w:val="center"/>
              <w:rPr>
                <w:rFonts w:ascii="Calibri" w:eastAsia="Calibri" w:hAnsi="Calibri" w:cs="Times New Roman"/>
                <w:sz w:val="22"/>
              </w:rPr>
            </w:pPr>
          </w:p>
        </w:tc>
        <w:tc>
          <w:tcPr>
            <w:tcW w:w="1559" w:type="dxa"/>
          </w:tcPr>
          <w:p w14:paraId="3750A608"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Considérés</w:t>
            </w:r>
          </w:p>
        </w:tc>
        <w:tc>
          <w:tcPr>
            <w:tcW w:w="1701" w:type="dxa"/>
          </w:tcPr>
          <w:p w14:paraId="2BFE647D"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5961D23F"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(2e)</w:t>
            </w:r>
          </w:p>
          <w:p w14:paraId="18CB95A1"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5537F3B0"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(4e)</w:t>
            </w:r>
          </w:p>
          <w:p w14:paraId="5E8C9B99"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phys (5e)</w:t>
            </w:r>
          </w:p>
        </w:tc>
        <w:tc>
          <w:tcPr>
            <w:tcW w:w="1276" w:type="dxa"/>
          </w:tcPr>
          <w:p w14:paraId="533A35AA"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(1er)</w:t>
            </w:r>
          </w:p>
          <w:p w14:paraId="7B29A8F9"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(2e)</w:t>
            </w:r>
          </w:p>
          <w:p w14:paraId="08446015"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4226B06A"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(4e)</w:t>
            </w:r>
          </w:p>
          <w:p w14:paraId="614AA17B"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stat (5e)</w:t>
            </w:r>
          </w:p>
        </w:tc>
        <w:tc>
          <w:tcPr>
            <w:tcW w:w="1275" w:type="dxa"/>
          </w:tcPr>
          <w:p w14:paraId="0721D6C3"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3838999B"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6E69B3EF"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6828D5DA"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(4e)</w:t>
            </w:r>
          </w:p>
          <w:p w14:paraId="01A0FA1F"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spi (5e)</w:t>
            </w:r>
          </w:p>
        </w:tc>
        <w:tc>
          <w:tcPr>
            <w:tcW w:w="1696" w:type="dxa"/>
          </w:tcPr>
          <w:p w14:paraId="17A81649"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266BA9A4"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0B57C39F"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40F86E16"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15A4107C"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Pas de 5e</w:t>
            </w:r>
          </w:p>
        </w:tc>
      </w:tr>
      <w:tr w:rsidR="00A459F2" w:rsidRPr="00A459F2" w14:paraId="38F1ABB3" w14:textId="77777777" w:rsidTr="00A45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55" w:type="dxa"/>
            <w:vMerge w:val="restart"/>
          </w:tcPr>
          <w:p w14:paraId="26788DBE" w14:textId="77777777" w:rsidR="00A459F2" w:rsidRPr="00A459F2" w:rsidRDefault="00A459F2" w:rsidP="00A459F2">
            <w:pPr>
              <w:spacing w:before="0" w:after="0"/>
              <w:ind w:firstLine="0"/>
              <w:jc w:val="center"/>
              <w:rPr>
                <w:rFonts w:ascii="Calibri" w:eastAsia="Calibri" w:hAnsi="Calibri" w:cs="Times New Roman"/>
                <w:sz w:val="22"/>
              </w:rPr>
            </w:pPr>
            <w:r w:rsidRPr="00A459F2">
              <w:rPr>
                <w:rFonts w:ascii="Calibri" w:eastAsia="Calibri" w:hAnsi="Calibri" w:cs="Times New Roman"/>
                <w:sz w:val="22"/>
              </w:rPr>
              <w:t>Détection par caractères</w:t>
            </w:r>
          </w:p>
        </w:tc>
        <w:tc>
          <w:tcPr>
            <w:tcW w:w="1559" w:type="dxa"/>
          </w:tcPr>
          <w:p w14:paraId="79E28318"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Écartés</w:t>
            </w:r>
          </w:p>
        </w:tc>
        <w:tc>
          <w:tcPr>
            <w:tcW w:w="1701" w:type="dxa"/>
          </w:tcPr>
          <w:p w14:paraId="01CC1E18"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0EAB2144"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(2e)</w:t>
            </w:r>
          </w:p>
          <w:p w14:paraId="5627D711"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51727BD8"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(4e)</w:t>
            </w:r>
          </w:p>
          <w:p w14:paraId="3005F10D"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phys (5e)</w:t>
            </w:r>
          </w:p>
        </w:tc>
        <w:tc>
          <w:tcPr>
            <w:tcW w:w="1276" w:type="dxa"/>
          </w:tcPr>
          <w:p w14:paraId="6EFD428E"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(1er)</w:t>
            </w:r>
          </w:p>
          <w:p w14:paraId="04EF42B1"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sde (2e)</w:t>
            </w:r>
          </w:p>
          <w:p w14:paraId="69DE3293"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sdv (3e)</w:t>
            </w:r>
          </w:p>
          <w:p w14:paraId="0C472D0A"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phys (4e)</w:t>
            </w:r>
          </w:p>
          <w:p w14:paraId="219780DF"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(5e)</w:t>
            </w:r>
          </w:p>
        </w:tc>
        <w:tc>
          <w:tcPr>
            <w:tcW w:w="1275" w:type="dxa"/>
          </w:tcPr>
          <w:p w14:paraId="4C37B33E"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0FE42F43"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(2e)</w:t>
            </w:r>
          </w:p>
          <w:p w14:paraId="3FF5D9BB"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(3e)</w:t>
            </w:r>
          </w:p>
          <w:p w14:paraId="55AEC435"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(4e)</w:t>
            </w:r>
          </w:p>
          <w:p w14:paraId="2CAA06F6"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spi (5e)</w:t>
            </w:r>
          </w:p>
        </w:tc>
        <w:tc>
          <w:tcPr>
            <w:tcW w:w="1696" w:type="dxa"/>
          </w:tcPr>
          <w:p w14:paraId="11D9DFD1"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6E6BFD3C"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3FDEDC5C"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63B88F1C"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3A570F45" w14:textId="77777777" w:rsidR="00A459F2" w:rsidRPr="00A459F2" w:rsidRDefault="00A459F2" w:rsidP="00A459F2">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phys (5e)</w:t>
            </w:r>
          </w:p>
        </w:tc>
      </w:tr>
      <w:tr w:rsidR="00A459F2" w:rsidRPr="00A459F2" w14:paraId="4EC1C4B6" w14:textId="77777777" w:rsidTr="00A459F2">
        <w:trPr>
          <w:jc w:val="center"/>
        </w:trPr>
        <w:tc>
          <w:tcPr>
            <w:cnfStyle w:val="001000000000" w:firstRow="0" w:lastRow="0" w:firstColumn="1" w:lastColumn="0" w:oddVBand="0" w:evenVBand="0" w:oddHBand="0" w:evenHBand="0" w:firstRowFirstColumn="0" w:firstRowLastColumn="0" w:lastRowFirstColumn="0" w:lastRowLastColumn="0"/>
            <w:tcW w:w="1555" w:type="dxa"/>
            <w:vMerge/>
          </w:tcPr>
          <w:p w14:paraId="2A54BF81" w14:textId="77777777" w:rsidR="00A459F2" w:rsidRPr="00A459F2" w:rsidRDefault="00A459F2" w:rsidP="00A459F2">
            <w:pPr>
              <w:spacing w:before="0" w:after="0"/>
              <w:ind w:firstLine="0"/>
              <w:jc w:val="center"/>
              <w:rPr>
                <w:rFonts w:ascii="Calibri" w:eastAsia="Calibri" w:hAnsi="Calibri" w:cs="Times New Roman"/>
                <w:sz w:val="22"/>
              </w:rPr>
            </w:pPr>
          </w:p>
        </w:tc>
        <w:tc>
          <w:tcPr>
            <w:tcW w:w="1559" w:type="dxa"/>
          </w:tcPr>
          <w:p w14:paraId="10438AAA"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Considérés</w:t>
            </w:r>
          </w:p>
        </w:tc>
        <w:tc>
          <w:tcPr>
            <w:tcW w:w="1701" w:type="dxa"/>
          </w:tcPr>
          <w:p w14:paraId="0A2B4439"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38E4F57B"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(2e)</w:t>
            </w:r>
          </w:p>
          <w:p w14:paraId="42AA410E"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(3e)</w:t>
            </w:r>
          </w:p>
          <w:p w14:paraId="188E99F8"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(4e)</w:t>
            </w:r>
          </w:p>
          <w:p w14:paraId="31B57771"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phys (5e)</w:t>
            </w:r>
          </w:p>
        </w:tc>
        <w:tc>
          <w:tcPr>
            <w:tcW w:w="1276" w:type="dxa"/>
          </w:tcPr>
          <w:p w14:paraId="19B3F44F"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(1er)</w:t>
            </w:r>
          </w:p>
          <w:p w14:paraId="27B02E67"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sde (2e)</w:t>
            </w:r>
          </w:p>
          <w:p w14:paraId="2CF0E5A2"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sdv (3e)</w:t>
            </w:r>
          </w:p>
          <w:p w14:paraId="30A644E1"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phys (4e)</w:t>
            </w:r>
          </w:p>
          <w:p w14:paraId="75AD3B16"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(5e)</w:t>
            </w:r>
          </w:p>
        </w:tc>
        <w:tc>
          <w:tcPr>
            <w:tcW w:w="1275" w:type="dxa"/>
          </w:tcPr>
          <w:p w14:paraId="11C0A28C"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26288989"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7C311AD7"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sdu (3e)</w:t>
            </w:r>
          </w:p>
          <w:p w14:paraId="02DFB4A7"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(4e)</w:t>
            </w:r>
          </w:p>
          <w:p w14:paraId="5B221899"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spi (5e)</w:t>
            </w:r>
          </w:p>
        </w:tc>
        <w:tc>
          <w:tcPr>
            <w:tcW w:w="1696" w:type="dxa"/>
          </w:tcPr>
          <w:p w14:paraId="46168CB0"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sde (1er)</w:t>
            </w:r>
          </w:p>
          <w:p w14:paraId="6A200404"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shs (2e)</w:t>
            </w:r>
          </w:p>
          <w:p w14:paraId="6947039D"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lang w:val="en-US"/>
              </w:rPr>
              <w:t>sdv (3e)</w:t>
            </w:r>
          </w:p>
          <w:p w14:paraId="64628908"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sdu (4e)</w:t>
            </w:r>
          </w:p>
          <w:p w14:paraId="332FE06F" w14:textId="77777777" w:rsidR="00A459F2" w:rsidRPr="00A459F2" w:rsidRDefault="00A459F2" w:rsidP="00A459F2">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lang w:val="en-US"/>
              </w:rPr>
            </w:pPr>
            <w:r w:rsidRPr="00A459F2">
              <w:rPr>
                <w:rFonts w:ascii="Calibri" w:eastAsia="Calibri" w:hAnsi="Calibri" w:cs="Times New Roman"/>
                <w:sz w:val="22"/>
              </w:rPr>
              <w:t>phys (5e)</w:t>
            </w:r>
          </w:p>
        </w:tc>
      </w:tr>
    </w:tbl>
    <w:p w14:paraId="0CD3F414" w14:textId="373AB7B4" w:rsidR="00A459F2" w:rsidRPr="00A459F2" w:rsidRDefault="00A459F2" w:rsidP="00A459F2">
      <w:pPr>
        <w:pStyle w:val="Sourcenote"/>
        <w:rPr>
          <w:rFonts w:eastAsia="Calibri"/>
        </w:rPr>
      </w:pPr>
      <w:r>
        <w:rPr>
          <w:rFonts w:eastAsia="Calibri"/>
        </w:rPr>
        <w:t>Source : analyse Cour des comptes d’après HAL.</w:t>
      </w:r>
    </w:p>
    <w:p w14:paraId="3A4748F5" w14:textId="100B5164" w:rsidR="00A459F2" w:rsidRPr="00A459F2" w:rsidRDefault="00A459F2" w:rsidP="00A459F2">
      <w:pPr>
        <w:pStyle w:val="Titretableau"/>
        <w:rPr>
          <w:rFonts w:eastAsia="Calibri"/>
        </w:rPr>
      </w:pPr>
      <w:r w:rsidRPr="00A459F2">
        <w:rPr>
          <w:rFonts w:eastAsia="Calibri"/>
        </w:rPr>
        <w:lastRenderedPageBreak/>
        <w:t xml:space="preserve">Disciplines scientifiques </w:t>
      </w:r>
      <w:r>
        <w:rPr>
          <w:rFonts w:eastAsia="Calibri"/>
        </w:rPr>
        <w:t xml:space="preserve">détaillées </w:t>
      </w:r>
      <w:r w:rsidRPr="00A459F2">
        <w:rPr>
          <w:rFonts w:eastAsia="Calibri"/>
        </w:rPr>
        <w:t>des articles cités par les groupes du GIEC.</w:t>
      </w:r>
    </w:p>
    <w:tbl>
      <w:tblPr>
        <w:tblStyle w:val="Grilledutableau"/>
        <w:tblW w:w="0" w:type="auto"/>
        <w:tblLook w:val="04A0" w:firstRow="1" w:lastRow="0" w:firstColumn="1" w:lastColumn="0" w:noHBand="0" w:noVBand="1"/>
      </w:tblPr>
      <w:tblGrid>
        <w:gridCol w:w="1738"/>
        <w:gridCol w:w="959"/>
        <w:gridCol w:w="1080"/>
        <w:gridCol w:w="976"/>
        <w:gridCol w:w="819"/>
        <w:gridCol w:w="929"/>
        <w:gridCol w:w="758"/>
        <w:gridCol w:w="951"/>
        <w:gridCol w:w="731"/>
      </w:tblGrid>
      <w:tr w:rsidR="00A459F2" w:rsidRPr="00A459F2" w14:paraId="5510C461" w14:textId="77777777" w:rsidTr="00A459F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5BC6A07D"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Disciplines scientifiques</w:t>
            </w:r>
            <w:r w:rsidRPr="00A459F2">
              <w:rPr>
                <w:rFonts w:ascii="Calibri" w:eastAsia="Calibri" w:hAnsi="Calibri" w:cs="Times New Roman"/>
                <w:sz w:val="22"/>
                <w:vertAlign w:val="superscript"/>
              </w:rPr>
              <w:footnoteReference w:id="17"/>
            </w:r>
          </w:p>
        </w:tc>
        <w:tc>
          <w:tcPr>
            <w:tcW w:w="2101" w:type="dxa"/>
            <w:gridSpan w:val="2"/>
          </w:tcPr>
          <w:p w14:paraId="6E07D22B" w14:textId="77777777" w:rsidR="00A459F2" w:rsidRPr="00A459F2" w:rsidRDefault="00A459F2" w:rsidP="008D4971">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Ensemble des groupes du GIEC (2422 articles)</w:t>
            </w:r>
          </w:p>
        </w:tc>
        <w:tc>
          <w:tcPr>
            <w:tcW w:w="1823" w:type="dxa"/>
            <w:gridSpan w:val="2"/>
          </w:tcPr>
          <w:p w14:paraId="3D16B801" w14:textId="77777777" w:rsidR="00A459F2" w:rsidRPr="00A459F2" w:rsidRDefault="00A459F2" w:rsidP="008D4971">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 xml:space="preserve">Groupe 1 </w:t>
            </w:r>
            <w:r w:rsidRPr="00A459F2">
              <w:rPr>
                <w:rFonts w:ascii="Calibri" w:eastAsia="Calibri" w:hAnsi="Calibri" w:cs="Times New Roman"/>
                <w:sz w:val="22"/>
              </w:rPr>
              <w:br/>
              <w:t>(1407 articles)</w:t>
            </w:r>
          </w:p>
        </w:tc>
        <w:tc>
          <w:tcPr>
            <w:tcW w:w="1700" w:type="dxa"/>
            <w:gridSpan w:val="2"/>
          </w:tcPr>
          <w:p w14:paraId="2B9DC5EC" w14:textId="77777777" w:rsidR="00A459F2" w:rsidRPr="00A459F2" w:rsidRDefault="00A459F2" w:rsidP="008D4971">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 xml:space="preserve">Groupe 2 </w:t>
            </w:r>
            <w:r w:rsidRPr="00A459F2">
              <w:rPr>
                <w:rFonts w:ascii="Calibri" w:eastAsia="Calibri" w:hAnsi="Calibri" w:cs="Times New Roman"/>
                <w:sz w:val="22"/>
              </w:rPr>
              <w:br/>
              <w:t>(891 articles)</w:t>
            </w:r>
          </w:p>
        </w:tc>
        <w:tc>
          <w:tcPr>
            <w:tcW w:w="1694" w:type="dxa"/>
            <w:gridSpan w:val="2"/>
          </w:tcPr>
          <w:p w14:paraId="5EBEB41E" w14:textId="77777777" w:rsidR="00A459F2" w:rsidRPr="00A459F2" w:rsidRDefault="00A459F2" w:rsidP="008D4971">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 xml:space="preserve">Groupe 3 </w:t>
            </w:r>
            <w:r w:rsidRPr="00A459F2">
              <w:rPr>
                <w:rFonts w:ascii="Calibri" w:eastAsia="Calibri" w:hAnsi="Calibri" w:cs="Times New Roman"/>
                <w:sz w:val="22"/>
              </w:rPr>
              <w:br/>
              <w:t>(394 articles)</w:t>
            </w:r>
          </w:p>
        </w:tc>
      </w:tr>
      <w:tr w:rsidR="00A459F2" w:rsidRPr="00A459F2" w14:paraId="36C64F44" w14:textId="77777777" w:rsidTr="00A459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7F4AA323" w14:textId="77777777" w:rsidR="00A459F2" w:rsidRPr="00A459F2" w:rsidRDefault="00A459F2" w:rsidP="008D4971">
            <w:pPr>
              <w:spacing w:before="0" w:after="0"/>
              <w:ind w:firstLine="0"/>
              <w:jc w:val="center"/>
              <w:rPr>
                <w:rFonts w:ascii="Calibri" w:eastAsia="Calibri" w:hAnsi="Calibri" w:cs="Times New Roman"/>
                <w:sz w:val="22"/>
              </w:rPr>
            </w:pPr>
          </w:p>
        </w:tc>
        <w:tc>
          <w:tcPr>
            <w:tcW w:w="969" w:type="dxa"/>
          </w:tcPr>
          <w:p w14:paraId="6D61771D"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Articles</w:t>
            </w:r>
          </w:p>
        </w:tc>
        <w:tc>
          <w:tcPr>
            <w:tcW w:w="1132" w:type="dxa"/>
          </w:tcPr>
          <w:p w14:paraId="4F23880C"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 du total</w:t>
            </w:r>
          </w:p>
        </w:tc>
        <w:tc>
          <w:tcPr>
            <w:tcW w:w="989" w:type="dxa"/>
          </w:tcPr>
          <w:p w14:paraId="21271F95"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Articles</w:t>
            </w:r>
          </w:p>
        </w:tc>
        <w:tc>
          <w:tcPr>
            <w:tcW w:w="834" w:type="dxa"/>
          </w:tcPr>
          <w:p w14:paraId="74F36E31"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 du total</w:t>
            </w:r>
          </w:p>
        </w:tc>
        <w:tc>
          <w:tcPr>
            <w:tcW w:w="935" w:type="dxa"/>
          </w:tcPr>
          <w:p w14:paraId="39D7508D"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Articles</w:t>
            </w:r>
          </w:p>
        </w:tc>
        <w:tc>
          <w:tcPr>
            <w:tcW w:w="765" w:type="dxa"/>
          </w:tcPr>
          <w:p w14:paraId="143A09B7"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 du total</w:t>
            </w:r>
          </w:p>
        </w:tc>
        <w:tc>
          <w:tcPr>
            <w:tcW w:w="960" w:type="dxa"/>
          </w:tcPr>
          <w:p w14:paraId="119378D1"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Articles</w:t>
            </w:r>
          </w:p>
        </w:tc>
        <w:tc>
          <w:tcPr>
            <w:tcW w:w="734" w:type="dxa"/>
          </w:tcPr>
          <w:p w14:paraId="618E9A67"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 du total</w:t>
            </w:r>
          </w:p>
        </w:tc>
      </w:tr>
      <w:tr w:rsidR="00A459F2" w:rsidRPr="00A459F2" w14:paraId="3DEF1F0C" w14:textId="77777777" w:rsidTr="00A459F2">
        <w:tc>
          <w:tcPr>
            <w:cnfStyle w:val="001000000000" w:firstRow="0" w:lastRow="0" w:firstColumn="1" w:lastColumn="0" w:oddVBand="0" w:evenVBand="0" w:oddHBand="0" w:evenHBand="0" w:firstRowFirstColumn="0" w:firstRowLastColumn="0" w:lastRowFirstColumn="0" w:lastRowLastColumn="0"/>
            <w:tcW w:w="1742" w:type="dxa"/>
          </w:tcPr>
          <w:p w14:paraId="70DBA21E" w14:textId="77777777" w:rsidR="00A459F2" w:rsidRPr="00A459F2" w:rsidRDefault="00A459F2" w:rsidP="008D4971">
            <w:pPr>
              <w:spacing w:before="0" w:after="0"/>
              <w:ind w:firstLine="0"/>
              <w:jc w:val="center"/>
              <w:rPr>
                <w:rFonts w:ascii="Calibri" w:eastAsia="Calibri" w:hAnsi="Calibri" w:cs="Times New Roman"/>
                <w:b/>
                <w:sz w:val="22"/>
              </w:rPr>
            </w:pPr>
            <w:r w:rsidRPr="00A459F2">
              <w:rPr>
                <w:rFonts w:ascii="Calibri" w:eastAsia="Calibri" w:hAnsi="Calibri" w:cs="Times New Roman"/>
                <w:b/>
                <w:sz w:val="22"/>
              </w:rPr>
              <w:t>Planète et univers (0.sdu)</w:t>
            </w:r>
          </w:p>
        </w:tc>
        <w:tc>
          <w:tcPr>
            <w:tcW w:w="969" w:type="dxa"/>
          </w:tcPr>
          <w:p w14:paraId="34E73E81"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1824</w:t>
            </w:r>
          </w:p>
        </w:tc>
        <w:tc>
          <w:tcPr>
            <w:tcW w:w="1132" w:type="dxa"/>
          </w:tcPr>
          <w:p w14:paraId="26559A08"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sz w:val="22"/>
              </w:rPr>
            </w:pPr>
            <w:r w:rsidRPr="00A459F2">
              <w:rPr>
                <w:rFonts w:ascii="Calibri" w:eastAsia="Calibri" w:hAnsi="Calibri" w:cs="Times New Roman"/>
                <w:b/>
                <w:sz w:val="22"/>
              </w:rPr>
              <w:t>44%</w:t>
            </w:r>
          </w:p>
        </w:tc>
        <w:tc>
          <w:tcPr>
            <w:tcW w:w="989" w:type="dxa"/>
          </w:tcPr>
          <w:p w14:paraId="3D02DD1A"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1499</w:t>
            </w:r>
          </w:p>
        </w:tc>
        <w:tc>
          <w:tcPr>
            <w:tcW w:w="834" w:type="dxa"/>
          </w:tcPr>
          <w:p w14:paraId="31E91121"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b/>
                <w:sz w:val="22"/>
              </w:rPr>
            </w:pPr>
            <w:r w:rsidRPr="00A459F2">
              <w:rPr>
                <w:rFonts w:ascii="Calibri" w:eastAsia="Calibri" w:hAnsi="Calibri" w:cs="Times New Roman"/>
                <w:b/>
                <w:sz w:val="22"/>
              </w:rPr>
              <w:t>64%</w:t>
            </w:r>
          </w:p>
        </w:tc>
        <w:tc>
          <w:tcPr>
            <w:tcW w:w="935" w:type="dxa"/>
          </w:tcPr>
          <w:p w14:paraId="5542DAEE"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425</w:t>
            </w:r>
          </w:p>
        </w:tc>
        <w:tc>
          <w:tcPr>
            <w:tcW w:w="765" w:type="dxa"/>
          </w:tcPr>
          <w:p w14:paraId="00D5C24B"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26%</w:t>
            </w:r>
          </w:p>
        </w:tc>
        <w:tc>
          <w:tcPr>
            <w:tcW w:w="960" w:type="dxa"/>
          </w:tcPr>
          <w:p w14:paraId="238B64F4"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131</w:t>
            </w:r>
          </w:p>
        </w:tc>
        <w:tc>
          <w:tcPr>
            <w:tcW w:w="734" w:type="dxa"/>
          </w:tcPr>
          <w:p w14:paraId="35ACB6D7"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21%</w:t>
            </w:r>
          </w:p>
        </w:tc>
      </w:tr>
      <w:tr w:rsidR="00A459F2" w:rsidRPr="00A459F2" w14:paraId="77898CB5" w14:textId="77777777" w:rsidTr="00A459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1986F5B7" w14:textId="77777777" w:rsidR="00A459F2" w:rsidRPr="00A459F2" w:rsidRDefault="00A459F2" w:rsidP="008D4971">
            <w:pPr>
              <w:spacing w:before="0" w:after="0"/>
              <w:ind w:firstLine="0"/>
              <w:jc w:val="center"/>
              <w:rPr>
                <w:rFonts w:ascii="Calibri" w:eastAsia="Calibri" w:hAnsi="Calibri" w:cs="Times New Roman"/>
                <w:b/>
                <w:sz w:val="22"/>
              </w:rPr>
            </w:pPr>
            <w:r w:rsidRPr="00A459F2">
              <w:rPr>
                <w:rFonts w:ascii="Calibri" w:eastAsia="Calibri" w:hAnsi="Calibri" w:cs="Times New Roman"/>
                <w:b/>
                <w:sz w:val="22"/>
              </w:rPr>
              <w:t>Sciences de l’environnement (0.sde)</w:t>
            </w:r>
          </w:p>
        </w:tc>
        <w:tc>
          <w:tcPr>
            <w:tcW w:w="969" w:type="dxa"/>
          </w:tcPr>
          <w:p w14:paraId="698D2599"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1074</w:t>
            </w:r>
          </w:p>
        </w:tc>
        <w:tc>
          <w:tcPr>
            <w:tcW w:w="1132" w:type="dxa"/>
          </w:tcPr>
          <w:p w14:paraId="66E860A8"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26%</w:t>
            </w:r>
          </w:p>
        </w:tc>
        <w:tc>
          <w:tcPr>
            <w:tcW w:w="989" w:type="dxa"/>
          </w:tcPr>
          <w:p w14:paraId="7BD0F374"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426</w:t>
            </w:r>
          </w:p>
        </w:tc>
        <w:tc>
          <w:tcPr>
            <w:tcW w:w="834" w:type="dxa"/>
          </w:tcPr>
          <w:p w14:paraId="1A18B4F6"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18%</w:t>
            </w:r>
          </w:p>
        </w:tc>
        <w:tc>
          <w:tcPr>
            <w:tcW w:w="935" w:type="dxa"/>
          </w:tcPr>
          <w:p w14:paraId="40E2F2BF"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602</w:t>
            </w:r>
          </w:p>
        </w:tc>
        <w:tc>
          <w:tcPr>
            <w:tcW w:w="765" w:type="dxa"/>
          </w:tcPr>
          <w:p w14:paraId="5D8757C3"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sz w:val="22"/>
              </w:rPr>
            </w:pPr>
            <w:r w:rsidRPr="00A459F2">
              <w:rPr>
                <w:rFonts w:ascii="Calibri" w:eastAsia="Calibri" w:hAnsi="Calibri" w:cs="Times New Roman"/>
                <w:b/>
                <w:sz w:val="22"/>
              </w:rPr>
              <w:t>37%</w:t>
            </w:r>
          </w:p>
        </w:tc>
        <w:tc>
          <w:tcPr>
            <w:tcW w:w="960" w:type="dxa"/>
          </w:tcPr>
          <w:p w14:paraId="2C3EAD88"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164</w:t>
            </w:r>
          </w:p>
        </w:tc>
        <w:tc>
          <w:tcPr>
            <w:tcW w:w="734" w:type="dxa"/>
          </w:tcPr>
          <w:p w14:paraId="7B93FE23"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27%</w:t>
            </w:r>
          </w:p>
        </w:tc>
      </w:tr>
      <w:tr w:rsidR="00A459F2" w:rsidRPr="00A459F2" w14:paraId="5AAEEDDF" w14:textId="77777777" w:rsidTr="00A459F2">
        <w:tc>
          <w:tcPr>
            <w:cnfStyle w:val="001000000000" w:firstRow="0" w:lastRow="0" w:firstColumn="1" w:lastColumn="0" w:oddVBand="0" w:evenVBand="0" w:oddHBand="0" w:evenHBand="0" w:firstRowFirstColumn="0" w:firstRowLastColumn="0" w:lastRowFirstColumn="0" w:lastRowLastColumn="0"/>
            <w:tcW w:w="1742" w:type="dxa"/>
          </w:tcPr>
          <w:p w14:paraId="72E7EFAA" w14:textId="77777777" w:rsidR="00A459F2" w:rsidRPr="00A459F2" w:rsidRDefault="00A459F2" w:rsidP="008D4971">
            <w:pPr>
              <w:spacing w:before="0" w:after="0"/>
              <w:ind w:firstLine="0"/>
              <w:jc w:val="center"/>
              <w:rPr>
                <w:rFonts w:ascii="Calibri" w:eastAsia="Calibri" w:hAnsi="Calibri" w:cs="Times New Roman"/>
                <w:b/>
                <w:sz w:val="22"/>
              </w:rPr>
            </w:pPr>
            <w:r w:rsidRPr="00A459F2">
              <w:rPr>
                <w:rFonts w:ascii="Calibri" w:eastAsia="Calibri" w:hAnsi="Calibri" w:cs="Times New Roman"/>
                <w:b/>
                <w:sz w:val="22"/>
              </w:rPr>
              <w:t>Sciences du vivant (0.sdv)</w:t>
            </w:r>
          </w:p>
        </w:tc>
        <w:tc>
          <w:tcPr>
            <w:tcW w:w="969" w:type="dxa"/>
          </w:tcPr>
          <w:p w14:paraId="46E24CF6"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489</w:t>
            </w:r>
          </w:p>
        </w:tc>
        <w:tc>
          <w:tcPr>
            <w:tcW w:w="1132" w:type="dxa"/>
          </w:tcPr>
          <w:p w14:paraId="72AF4B1C"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12%</w:t>
            </w:r>
          </w:p>
        </w:tc>
        <w:tc>
          <w:tcPr>
            <w:tcW w:w="989" w:type="dxa"/>
          </w:tcPr>
          <w:p w14:paraId="49E177E5"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98</w:t>
            </w:r>
          </w:p>
        </w:tc>
        <w:tc>
          <w:tcPr>
            <w:tcW w:w="834" w:type="dxa"/>
          </w:tcPr>
          <w:p w14:paraId="69C15671"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w:t>
            </w:r>
          </w:p>
        </w:tc>
        <w:tc>
          <w:tcPr>
            <w:tcW w:w="935" w:type="dxa"/>
          </w:tcPr>
          <w:p w14:paraId="391E2D7B"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355</w:t>
            </w:r>
          </w:p>
        </w:tc>
        <w:tc>
          <w:tcPr>
            <w:tcW w:w="765" w:type="dxa"/>
          </w:tcPr>
          <w:p w14:paraId="55C387E5"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22%</w:t>
            </w:r>
          </w:p>
        </w:tc>
        <w:tc>
          <w:tcPr>
            <w:tcW w:w="960" w:type="dxa"/>
          </w:tcPr>
          <w:p w14:paraId="49414F95"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72</w:t>
            </w:r>
          </w:p>
        </w:tc>
        <w:tc>
          <w:tcPr>
            <w:tcW w:w="734" w:type="dxa"/>
          </w:tcPr>
          <w:p w14:paraId="6996D67A"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12%</w:t>
            </w:r>
          </w:p>
        </w:tc>
      </w:tr>
      <w:tr w:rsidR="00A459F2" w:rsidRPr="00A459F2" w14:paraId="7A30C6C6" w14:textId="77777777" w:rsidTr="00A459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03E85EE7" w14:textId="77777777" w:rsidR="00A459F2" w:rsidRPr="00A459F2" w:rsidRDefault="00A459F2" w:rsidP="008D4971">
            <w:pPr>
              <w:spacing w:before="0" w:after="0"/>
              <w:ind w:firstLine="0"/>
              <w:jc w:val="center"/>
              <w:rPr>
                <w:rFonts w:ascii="Calibri" w:eastAsia="Calibri" w:hAnsi="Calibri" w:cs="Times New Roman"/>
                <w:b/>
                <w:sz w:val="22"/>
              </w:rPr>
            </w:pPr>
            <w:r w:rsidRPr="00A459F2">
              <w:rPr>
                <w:rFonts w:ascii="Calibri" w:eastAsia="Calibri" w:hAnsi="Calibri" w:cs="Times New Roman"/>
                <w:b/>
                <w:sz w:val="22"/>
              </w:rPr>
              <w:t>Sciences de l’homme et de la société (0.shs)</w:t>
            </w:r>
          </w:p>
        </w:tc>
        <w:tc>
          <w:tcPr>
            <w:tcW w:w="969" w:type="dxa"/>
          </w:tcPr>
          <w:p w14:paraId="048D840F"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376</w:t>
            </w:r>
          </w:p>
        </w:tc>
        <w:tc>
          <w:tcPr>
            <w:tcW w:w="1132" w:type="dxa"/>
          </w:tcPr>
          <w:p w14:paraId="440FF982"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9%</w:t>
            </w:r>
          </w:p>
        </w:tc>
        <w:tc>
          <w:tcPr>
            <w:tcW w:w="989" w:type="dxa"/>
          </w:tcPr>
          <w:p w14:paraId="33E3C3B3"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49</w:t>
            </w:r>
          </w:p>
        </w:tc>
        <w:tc>
          <w:tcPr>
            <w:tcW w:w="834" w:type="dxa"/>
          </w:tcPr>
          <w:p w14:paraId="43D76AD7"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w:t>
            </w:r>
          </w:p>
        </w:tc>
        <w:tc>
          <w:tcPr>
            <w:tcW w:w="935" w:type="dxa"/>
          </w:tcPr>
          <w:p w14:paraId="3A2A9884"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164</w:t>
            </w:r>
          </w:p>
        </w:tc>
        <w:tc>
          <w:tcPr>
            <w:tcW w:w="765" w:type="dxa"/>
          </w:tcPr>
          <w:p w14:paraId="0F29D4B3"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10%</w:t>
            </w:r>
          </w:p>
        </w:tc>
        <w:tc>
          <w:tcPr>
            <w:tcW w:w="960" w:type="dxa"/>
          </w:tcPr>
          <w:p w14:paraId="52D19B36"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192</w:t>
            </w:r>
          </w:p>
        </w:tc>
        <w:tc>
          <w:tcPr>
            <w:tcW w:w="734" w:type="dxa"/>
          </w:tcPr>
          <w:p w14:paraId="4E3C4BB2"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b/>
                <w:sz w:val="22"/>
              </w:rPr>
            </w:pPr>
            <w:r w:rsidRPr="00A459F2">
              <w:rPr>
                <w:rFonts w:ascii="Calibri" w:eastAsia="Calibri" w:hAnsi="Calibri" w:cs="Times New Roman"/>
                <w:b/>
                <w:sz w:val="22"/>
              </w:rPr>
              <w:t>31%</w:t>
            </w:r>
          </w:p>
        </w:tc>
      </w:tr>
      <w:tr w:rsidR="00A459F2" w:rsidRPr="00A459F2" w14:paraId="6AA50EF5" w14:textId="77777777" w:rsidTr="00A459F2">
        <w:tc>
          <w:tcPr>
            <w:cnfStyle w:val="001000000000" w:firstRow="0" w:lastRow="0" w:firstColumn="1" w:lastColumn="0" w:oddVBand="0" w:evenVBand="0" w:oddHBand="0" w:evenHBand="0" w:firstRowFirstColumn="0" w:firstRowLastColumn="0" w:lastRowFirstColumn="0" w:lastRowLastColumn="0"/>
            <w:tcW w:w="1742" w:type="dxa"/>
          </w:tcPr>
          <w:p w14:paraId="3C469556" w14:textId="77777777" w:rsidR="00A459F2" w:rsidRPr="00A459F2" w:rsidRDefault="00A459F2" w:rsidP="008D4971">
            <w:pPr>
              <w:spacing w:before="0" w:after="0"/>
              <w:ind w:firstLine="0"/>
              <w:jc w:val="center"/>
              <w:rPr>
                <w:rFonts w:ascii="Calibri" w:eastAsia="Calibri" w:hAnsi="Calibri" w:cs="Times New Roman"/>
                <w:b/>
                <w:sz w:val="22"/>
              </w:rPr>
            </w:pPr>
            <w:r w:rsidRPr="00A459F2">
              <w:rPr>
                <w:rFonts w:ascii="Calibri" w:eastAsia="Calibri" w:hAnsi="Calibri" w:cs="Times New Roman"/>
                <w:b/>
                <w:sz w:val="22"/>
              </w:rPr>
              <w:t>Physique (0.phys)</w:t>
            </w:r>
          </w:p>
        </w:tc>
        <w:tc>
          <w:tcPr>
            <w:tcW w:w="969" w:type="dxa"/>
          </w:tcPr>
          <w:p w14:paraId="7ADBE45F"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261</w:t>
            </w:r>
          </w:p>
        </w:tc>
        <w:tc>
          <w:tcPr>
            <w:tcW w:w="1132" w:type="dxa"/>
          </w:tcPr>
          <w:p w14:paraId="60D51270"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6%</w:t>
            </w:r>
          </w:p>
        </w:tc>
        <w:tc>
          <w:tcPr>
            <w:tcW w:w="989" w:type="dxa"/>
          </w:tcPr>
          <w:p w14:paraId="69312B53"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230</w:t>
            </w:r>
          </w:p>
        </w:tc>
        <w:tc>
          <w:tcPr>
            <w:tcW w:w="834" w:type="dxa"/>
          </w:tcPr>
          <w:p w14:paraId="1E580AC9"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10%</w:t>
            </w:r>
          </w:p>
        </w:tc>
        <w:tc>
          <w:tcPr>
            <w:tcW w:w="935" w:type="dxa"/>
          </w:tcPr>
          <w:p w14:paraId="32A28F9F"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39</w:t>
            </w:r>
          </w:p>
        </w:tc>
        <w:tc>
          <w:tcPr>
            <w:tcW w:w="765" w:type="dxa"/>
          </w:tcPr>
          <w:p w14:paraId="216C8EFF"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w:t>
            </w:r>
          </w:p>
        </w:tc>
        <w:tc>
          <w:tcPr>
            <w:tcW w:w="960" w:type="dxa"/>
          </w:tcPr>
          <w:p w14:paraId="5CB68402"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15</w:t>
            </w:r>
          </w:p>
        </w:tc>
        <w:tc>
          <w:tcPr>
            <w:tcW w:w="734" w:type="dxa"/>
          </w:tcPr>
          <w:p w14:paraId="60F3237B"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w:t>
            </w:r>
          </w:p>
        </w:tc>
      </w:tr>
      <w:tr w:rsidR="00A459F2" w:rsidRPr="00A459F2" w14:paraId="45BDEA10" w14:textId="77777777" w:rsidTr="00A459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593BAEB6"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0.spi</w:t>
            </w:r>
          </w:p>
        </w:tc>
        <w:tc>
          <w:tcPr>
            <w:tcW w:w="969" w:type="dxa"/>
          </w:tcPr>
          <w:p w14:paraId="61AA508F"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52</w:t>
            </w:r>
          </w:p>
        </w:tc>
        <w:tc>
          <w:tcPr>
            <w:tcW w:w="1132" w:type="dxa"/>
          </w:tcPr>
          <w:p w14:paraId="5DE172FC"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989" w:type="dxa"/>
          </w:tcPr>
          <w:p w14:paraId="2D05231C"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17</w:t>
            </w:r>
          </w:p>
        </w:tc>
        <w:tc>
          <w:tcPr>
            <w:tcW w:w="834" w:type="dxa"/>
          </w:tcPr>
          <w:p w14:paraId="3920C2C9"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935" w:type="dxa"/>
          </w:tcPr>
          <w:p w14:paraId="38DD7C27"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15</w:t>
            </w:r>
          </w:p>
        </w:tc>
        <w:tc>
          <w:tcPr>
            <w:tcW w:w="765" w:type="dxa"/>
          </w:tcPr>
          <w:p w14:paraId="23F0A38F"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960" w:type="dxa"/>
          </w:tcPr>
          <w:p w14:paraId="61BF720C"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22</w:t>
            </w:r>
          </w:p>
        </w:tc>
        <w:tc>
          <w:tcPr>
            <w:tcW w:w="734" w:type="dxa"/>
          </w:tcPr>
          <w:p w14:paraId="0887330B"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w:t>
            </w:r>
          </w:p>
        </w:tc>
      </w:tr>
      <w:tr w:rsidR="00A459F2" w:rsidRPr="00A459F2" w14:paraId="141BB841" w14:textId="77777777" w:rsidTr="00A459F2">
        <w:tc>
          <w:tcPr>
            <w:cnfStyle w:val="001000000000" w:firstRow="0" w:lastRow="0" w:firstColumn="1" w:lastColumn="0" w:oddVBand="0" w:evenVBand="0" w:oddHBand="0" w:evenHBand="0" w:firstRowFirstColumn="0" w:firstRowLastColumn="0" w:lastRowFirstColumn="0" w:lastRowLastColumn="0"/>
            <w:tcW w:w="1742" w:type="dxa"/>
          </w:tcPr>
          <w:p w14:paraId="21C94314"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0.info</w:t>
            </w:r>
          </w:p>
        </w:tc>
        <w:tc>
          <w:tcPr>
            <w:tcW w:w="969" w:type="dxa"/>
          </w:tcPr>
          <w:p w14:paraId="411F12E2"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34</w:t>
            </w:r>
          </w:p>
        </w:tc>
        <w:tc>
          <w:tcPr>
            <w:tcW w:w="1132" w:type="dxa"/>
          </w:tcPr>
          <w:p w14:paraId="60243FEA"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989" w:type="dxa"/>
          </w:tcPr>
          <w:p w14:paraId="69B4EFB6"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11</w:t>
            </w:r>
          </w:p>
        </w:tc>
        <w:tc>
          <w:tcPr>
            <w:tcW w:w="834" w:type="dxa"/>
          </w:tcPr>
          <w:p w14:paraId="5D5D150C"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35" w:type="dxa"/>
          </w:tcPr>
          <w:p w14:paraId="56FD57D5"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18</w:t>
            </w:r>
          </w:p>
        </w:tc>
        <w:tc>
          <w:tcPr>
            <w:tcW w:w="765" w:type="dxa"/>
          </w:tcPr>
          <w:p w14:paraId="501F647D"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960" w:type="dxa"/>
          </w:tcPr>
          <w:p w14:paraId="5F5EEEA4"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7</w:t>
            </w:r>
          </w:p>
        </w:tc>
        <w:tc>
          <w:tcPr>
            <w:tcW w:w="734" w:type="dxa"/>
          </w:tcPr>
          <w:p w14:paraId="57F6049C"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r>
      <w:tr w:rsidR="00A459F2" w:rsidRPr="00A459F2" w14:paraId="06FA510E" w14:textId="77777777" w:rsidTr="00A459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06785874"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0.stat</w:t>
            </w:r>
          </w:p>
        </w:tc>
        <w:tc>
          <w:tcPr>
            <w:tcW w:w="969" w:type="dxa"/>
          </w:tcPr>
          <w:p w14:paraId="51E60E84"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23</w:t>
            </w:r>
          </w:p>
        </w:tc>
        <w:tc>
          <w:tcPr>
            <w:tcW w:w="1132" w:type="dxa"/>
          </w:tcPr>
          <w:p w14:paraId="01C7B686"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989" w:type="dxa"/>
          </w:tcPr>
          <w:p w14:paraId="65B1DA9D"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17</w:t>
            </w:r>
          </w:p>
        </w:tc>
        <w:tc>
          <w:tcPr>
            <w:tcW w:w="834" w:type="dxa"/>
          </w:tcPr>
          <w:p w14:paraId="731CB21E"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935" w:type="dxa"/>
          </w:tcPr>
          <w:p w14:paraId="2EEA2E1F"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7</w:t>
            </w:r>
          </w:p>
        </w:tc>
        <w:tc>
          <w:tcPr>
            <w:tcW w:w="765" w:type="dxa"/>
          </w:tcPr>
          <w:p w14:paraId="68F8339A"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60" w:type="dxa"/>
          </w:tcPr>
          <w:p w14:paraId="14E07AB5"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734" w:type="dxa"/>
          </w:tcPr>
          <w:p w14:paraId="02D02A7B"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r>
      <w:tr w:rsidR="00A459F2" w:rsidRPr="00A459F2" w14:paraId="49D1B873" w14:textId="77777777" w:rsidTr="00A459F2">
        <w:tc>
          <w:tcPr>
            <w:cnfStyle w:val="001000000000" w:firstRow="0" w:lastRow="0" w:firstColumn="1" w:lastColumn="0" w:oddVBand="0" w:evenVBand="0" w:oddHBand="0" w:evenHBand="0" w:firstRowFirstColumn="0" w:firstRowLastColumn="0" w:lastRowFirstColumn="0" w:lastRowLastColumn="0"/>
            <w:tcW w:w="1742" w:type="dxa"/>
          </w:tcPr>
          <w:p w14:paraId="4C044B8C"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0.chim</w:t>
            </w:r>
          </w:p>
        </w:tc>
        <w:tc>
          <w:tcPr>
            <w:tcW w:w="969" w:type="dxa"/>
          </w:tcPr>
          <w:p w14:paraId="5BD312F0"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8</w:t>
            </w:r>
          </w:p>
        </w:tc>
        <w:tc>
          <w:tcPr>
            <w:tcW w:w="1132" w:type="dxa"/>
          </w:tcPr>
          <w:p w14:paraId="4B8A70FB"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89" w:type="dxa"/>
          </w:tcPr>
          <w:p w14:paraId="191D2753"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5</w:t>
            </w:r>
          </w:p>
        </w:tc>
        <w:tc>
          <w:tcPr>
            <w:tcW w:w="834" w:type="dxa"/>
          </w:tcPr>
          <w:p w14:paraId="0E7A6256"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35" w:type="dxa"/>
          </w:tcPr>
          <w:p w14:paraId="081B4627"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w:t>
            </w:r>
          </w:p>
        </w:tc>
        <w:tc>
          <w:tcPr>
            <w:tcW w:w="765" w:type="dxa"/>
          </w:tcPr>
          <w:p w14:paraId="195EEF88"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60" w:type="dxa"/>
          </w:tcPr>
          <w:p w14:paraId="6A17F212"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734" w:type="dxa"/>
          </w:tcPr>
          <w:p w14:paraId="33AE8930"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r>
      <w:tr w:rsidR="00A459F2" w:rsidRPr="00A459F2" w14:paraId="7F3A5D83" w14:textId="77777777" w:rsidTr="00A459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0D9DEE98"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0.qfin</w:t>
            </w:r>
          </w:p>
        </w:tc>
        <w:tc>
          <w:tcPr>
            <w:tcW w:w="969" w:type="dxa"/>
          </w:tcPr>
          <w:p w14:paraId="7ED6F663"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8</w:t>
            </w:r>
          </w:p>
        </w:tc>
        <w:tc>
          <w:tcPr>
            <w:tcW w:w="1132" w:type="dxa"/>
          </w:tcPr>
          <w:p w14:paraId="17B72483"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89" w:type="dxa"/>
          </w:tcPr>
          <w:p w14:paraId="68006278"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834" w:type="dxa"/>
          </w:tcPr>
          <w:p w14:paraId="71CE8E3A"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35" w:type="dxa"/>
          </w:tcPr>
          <w:p w14:paraId="1C3331D8"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765" w:type="dxa"/>
          </w:tcPr>
          <w:p w14:paraId="730BFF29"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60" w:type="dxa"/>
          </w:tcPr>
          <w:p w14:paraId="2E48C3FA"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7</w:t>
            </w:r>
          </w:p>
        </w:tc>
        <w:tc>
          <w:tcPr>
            <w:tcW w:w="734" w:type="dxa"/>
          </w:tcPr>
          <w:p w14:paraId="38931FDE"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r>
      <w:tr w:rsidR="00A459F2" w:rsidRPr="00A459F2" w14:paraId="7FBAB3FA" w14:textId="77777777" w:rsidTr="00A459F2">
        <w:tc>
          <w:tcPr>
            <w:cnfStyle w:val="001000000000" w:firstRow="0" w:lastRow="0" w:firstColumn="1" w:lastColumn="0" w:oddVBand="0" w:evenVBand="0" w:oddHBand="0" w:evenHBand="0" w:firstRowFirstColumn="0" w:firstRowLastColumn="0" w:lastRowFirstColumn="0" w:lastRowLastColumn="0"/>
            <w:tcW w:w="1742" w:type="dxa"/>
          </w:tcPr>
          <w:p w14:paraId="7D2270EF"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0.math</w:t>
            </w:r>
          </w:p>
        </w:tc>
        <w:tc>
          <w:tcPr>
            <w:tcW w:w="969" w:type="dxa"/>
          </w:tcPr>
          <w:p w14:paraId="2D5374E4"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7</w:t>
            </w:r>
          </w:p>
        </w:tc>
        <w:tc>
          <w:tcPr>
            <w:tcW w:w="1132" w:type="dxa"/>
          </w:tcPr>
          <w:p w14:paraId="75B8103D"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89" w:type="dxa"/>
          </w:tcPr>
          <w:p w14:paraId="3153E3F4"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w:t>
            </w:r>
          </w:p>
        </w:tc>
        <w:tc>
          <w:tcPr>
            <w:tcW w:w="834" w:type="dxa"/>
          </w:tcPr>
          <w:p w14:paraId="7A5CE1C7"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35" w:type="dxa"/>
          </w:tcPr>
          <w:p w14:paraId="584E7CD6"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w:t>
            </w:r>
          </w:p>
        </w:tc>
        <w:tc>
          <w:tcPr>
            <w:tcW w:w="765" w:type="dxa"/>
          </w:tcPr>
          <w:p w14:paraId="56180D29"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60" w:type="dxa"/>
          </w:tcPr>
          <w:p w14:paraId="73BDBB8D"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734" w:type="dxa"/>
          </w:tcPr>
          <w:p w14:paraId="50D1125F"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r>
      <w:tr w:rsidR="00A459F2" w:rsidRPr="00A459F2" w14:paraId="1061955D" w14:textId="77777777" w:rsidTr="00A459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2" w:type="dxa"/>
          </w:tcPr>
          <w:p w14:paraId="38978C7C"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0.scco</w:t>
            </w:r>
          </w:p>
        </w:tc>
        <w:tc>
          <w:tcPr>
            <w:tcW w:w="969" w:type="dxa"/>
          </w:tcPr>
          <w:p w14:paraId="28F544E5"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1132" w:type="dxa"/>
          </w:tcPr>
          <w:p w14:paraId="6460C27B"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89" w:type="dxa"/>
          </w:tcPr>
          <w:p w14:paraId="6F11D8D9"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p>
        </w:tc>
        <w:tc>
          <w:tcPr>
            <w:tcW w:w="834" w:type="dxa"/>
          </w:tcPr>
          <w:p w14:paraId="1AB8F9D1"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35" w:type="dxa"/>
          </w:tcPr>
          <w:p w14:paraId="45547981"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765" w:type="dxa"/>
          </w:tcPr>
          <w:p w14:paraId="54C614A4"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960" w:type="dxa"/>
          </w:tcPr>
          <w:p w14:paraId="4E12BC0E"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c>
          <w:tcPr>
            <w:tcW w:w="734" w:type="dxa"/>
          </w:tcPr>
          <w:p w14:paraId="3FC5552E" w14:textId="77777777" w:rsidR="00A459F2" w:rsidRPr="00A459F2" w:rsidRDefault="00A459F2" w:rsidP="008D497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0%</w:t>
            </w:r>
          </w:p>
        </w:tc>
      </w:tr>
      <w:tr w:rsidR="00A459F2" w:rsidRPr="00A459F2" w14:paraId="48ECFCFF" w14:textId="77777777" w:rsidTr="00A459F2">
        <w:tc>
          <w:tcPr>
            <w:cnfStyle w:val="001000000000" w:firstRow="0" w:lastRow="0" w:firstColumn="1" w:lastColumn="0" w:oddVBand="0" w:evenVBand="0" w:oddHBand="0" w:evenHBand="0" w:firstRowFirstColumn="0" w:firstRowLastColumn="0" w:lastRowFirstColumn="0" w:lastRowLastColumn="0"/>
            <w:tcW w:w="1742" w:type="dxa"/>
          </w:tcPr>
          <w:p w14:paraId="0AABC77D" w14:textId="77777777" w:rsidR="00A459F2" w:rsidRPr="00A459F2" w:rsidRDefault="00A459F2" w:rsidP="008D4971">
            <w:pPr>
              <w:spacing w:before="0" w:after="0"/>
              <w:ind w:firstLine="0"/>
              <w:jc w:val="center"/>
              <w:rPr>
                <w:rFonts w:ascii="Calibri" w:eastAsia="Calibri" w:hAnsi="Calibri" w:cs="Times New Roman"/>
                <w:sz w:val="22"/>
              </w:rPr>
            </w:pPr>
            <w:r w:rsidRPr="00A459F2">
              <w:rPr>
                <w:rFonts w:ascii="Calibri" w:eastAsia="Calibri" w:hAnsi="Calibri" w:cs="Times New Roman"/>
                <w:sz w:val="22"/>
              </w:rPr>
              <w:t>Cumul</w:t>
            </w:r>
          </w:p>
        </w:tc>
        <w:tc>
          <w:tcPr>
            <w:tcW w:w="969" w:type="dxa"/>
          </w:tcPr>
          <w:p w14:paraId="7B10AA73" w14:textId="02BF4249"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4</w:t>
            </w:r>
            <w:r w:rsidR="000C6E62">
              <w:rPr>
                <w:rFonts w:ascii="Calibri" w:eastAsia="Calibri" w:hAnsi="Calibri" w:cs="Times New Roman"/>
                <w:sz w:val="22"/>
              </w:rPr>
              <w:t> </w:t>
            </w:r>
            <w:r w:rsidRPr="00A459F2">
              <w:rPr>
                <w:rFonts w:ascii="Calibri" w:eastAsia="Calibri" w:hAnsi="Calibri" w:cs="Times New Roman"/>
                <w:sz w:val="22"/>
              </w:rPr>
              <w:t>157</w:t>
            </w:r>
          </w:p>
        </w:tc>
        <w:tc>
          <w:tcPr>
            <w:tcW w:w="1132" w:type="dxa"/>
          </w:tcPr>
          <w:p w14:paraId="4967E5C7"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100%</w:t>
            </w:r>
          </w:p>
        </w:tc>
        <w:tc>
          <w:tcPr>
            <w:tcW w:w="989" w:type="dxa"/>
          </w:tcPr>
          <w:p w14:paraId="31E6E1A1" w14:textId="4BEBC5F8"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2</w:t>
            </w:r>
            <w:r w:rsidR="000C6E62">
              <w:rPr>
                <w:rFonts w:ascii="Calibri" w:eastAsia="Calibri" w:hAnsi="Calibri" w:cs="Times New Roman"/>
                <w:sz w:val="22"/>
              </w:rPr>
              <w:t> </w:t>
            </w:r>
            <w:r w:rsidRPr="00A459F2">
              <w:rPr>
                <w:rFonts w:ascii="Calibri" w:eastAsia="Calibri" w:hAnsi="Calibri" w:cs="Times New Roman"/>
                <w:sz w:val="22"/>
              </w:rPr>
              <w:t>358</w:t>
            </w:r>
          </w:p>
        </w:tc>
        <w:tc>
          <w:tcPr>
            <w:tcW w:w="834" w:type="dxa"/>
          </w:tcPr>
          <w:p w14:paraId="016AAB45"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100%</w:t>
            </w:r>
          </w:p>
        </w:tc>
        <w:tc>
          <w:tcPr>
            <w:tcW w:w="935" w:type="dxa"/>
          </w:tcPr>
          <w:p w14:paraId="74391802" w14:textId="59E08122"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w:t>
            </w:r>
            <w:r w:rsidR="000C6E62">
              <w:rPr>
                <w:rFonts w:ascii="Calibri" w:eastAsia="Calibri" w:hAnsi="Calibri" w:cs="Times New Roman"/>
                <w:sz w:val="22"/>
              </w:rPr>
              <w:t> </w:t>
            </w:r>
            <w:r w:rsidRPr="00A459F2">
              <w:rPr>
                <w:rFonts w:ascii="Calibri" w:eastAsia="Calibri" w:hAnsi="Calibri" w:cs="Times New Roman"/>
                <w:sz w:val="22"/>
              </w:rPr>
              <w:t>633</w:t>
            </w:r>
          </w:p>
        </w:tc>
        <w:tc>
          <w:tcPr>
            <w:tcW w:w="765" w:type="dxa"/>
          </w:tcPr>
          <w:p w14:paraId="4D5AE96E"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100%</w:t>
            </w:r>
          </w:p>
        </w:tc>
        <w:tc>
          <w:tcPr>
            <w:tcW w:w="960" w:type="dxa"/>
          </w:tcPr>
          <w:p w14:paraId="33BA0B23"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611</w:t>
            </w:r>
          </w:p>
        </w:tc>
        <w:tc>
          <w:tcPr>
            <w:tcW w:w="734" w:type="dxa"/>
          </w:tcPr>
          <w:p w14:paraId="0349FFF5" w14:textId="77777777" w:rsidR="00A459F2" w:rsidRPr="00A459F2" w:rsidRDefault="00A459F2" w:rsidP="008D497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Calibri" w:eastAsia="Calibri" w:hAnsi="Calibri" w:cs="Times New Roman"/>
                <w:sz w:val="22"/>
              </w:rPr>
            </w:pPr>
            <w:r w:rsidRPr="00A459F2">
              <w:rPr>
                <w:rFonts w:ascii="Calibri" w:eastAsia="Calibri" w:hAnsi="Calibri" w:cs="Times New Roman"/>
                <w:sz w:val="22"/>
              </w:rPr>
              <w:t>100%</w:t>
            </w:r>
          </w:p>
        </w:tc>
      </w:tr>
    </w:tbl>
    <w:p w14:paraId="0B60B460" w14:textId="3AAF707E" w:rsidR="00A459F2" w:rsidRPr="00ED5711" w:rsidRDefault="00A459F2" w:rsidP="00ED5711">
      <w:pPr>
        <w:pStyle w:val="Sourcenote"/>
        <w:rPr>
          <w:rFonts w:eastAsia="Calibri"/>
        </w:rPr>
      </w:pPr>
      <w:r>
        <w:rPr>
          <w:rFonts w:eastAsia="Calibri"/>
        </w:rPr>
        <w:t xml:space="preserve">Source : analyse Cour des comptes d’après HAL. </w:t>
      </w:r>
      <w:r w:rsidRPr="00A459F2">
        <w:rPr>
          <w:rFonts w:eastAsia="Calibri"/>
        </w:rPr>
        <w:t>Nota pour l’interprétation des effectifs et cumuls : un même article peut être rattaché à plusieurs disciplines et peut également être cité par plusieurs groupes du GIEC.</w:t>
      </w:r>
    </w:p>
    <w:p w14:paraId="17F472B6" w14:textId="13147287" w:rsidR="00A459F2" w:rsidRPr="00A459F2" w:rsidRDefault="00ED5711" w:rsidP="00ED5711">
      <w:pPr>
        <w:pStyle w:val="Titretableau"/>
        <w:rPr>
          <w:rFonts w:eastAsia="Calibri"/>
        </w:rPr>
      </w:pPr>
      <w:r>
        <w:rPr>
          <w:rFonts w:eastAsia="Calibri"/>
        </w:rPr>
        <w:t>P</w:t>
      </w:r>
      <w:r w:rsidR="00A459F2" w:rsidRPr="00A459F2">
        <w:rPr>
          <w:rFonts w:eastAsia="Calibri"/>
        </w:rPr>
        <w:t xml:space="preserve">rofils disciplinaires représentés dans HAL </w:t>
      </w:r>
      <w:r>
        <w:rPr>
          <w:rFonts w:eastAsia="Calibri"/>
        </w:rPr>
        <w:br/>
        <w:t>pour l’</w:t>
      </w:r>
      <w:r w:rsidR="00A459F2" w:rsidRPr="00A459F2">
        <w:rPr>
          <w:rFonts w:eastAsia="Calibri"/>
        </w:rPr>
        <w:t xml:space="preserve">ensemble du périmètre HAL.Science. </w:t>
      </w:r>
    </w:p>
    <w:tbl>
      <w:tblPr>
        <w:tblStyle w:val="Grilledutableau"/>
        <w:tblW w:w="0" w:type="auto"/>
        <w:tblLook w:val="04A0" w:firstRow="1" w:lastRow="0" w:firstColumn="1" w:lastColumn="0" w:noHBand="0" w:noVBand="1"/>
      </w:tblPr>
      <w:tblGrid>
        <w:gridCol w:w="2830"/>
        <w:gridCol w:w="2032"/>
        <w:gridCol w:w="1717"/>
        <w:gridCol w:w="1820"/>
      </w:tblGrid>
      <w:tr w:rsidR="00A459F2" w:rsidRPr="00A459F2" w14:paraId="3EF8A9DE" w14:textId="77777777" w:rsidTr="00ED5711">
        <w:trPr>
          <w:cnfStyle w:val="100000000000" w:firstRow="1" w:lastRow="0" w:firstColumn="0" w:lastColumn="0" w:oddVBand="0" w:evenVBand="0" w:oddHBand="0" w:evenHBand="0" w:firstRowFirstColumn="0" w:firstRowLastColumn="0" w:lastRowFirstColumn="0" w:lastRowLastColumn="0"/>
          <w:trHeight w:val="486"/>
        </w:trPr>
        <w:tc>
          <w:tcPr>
            <w:cnfStyle w:val="001000000000" w:firstRow="0" w:lastRow="0" w:firstColumn="1" w:lastColumn="0" w:oddVBand="0" w:evenVBand="0" w:oddHBand="0" w:evenHBand="0" w:firstRowFirstColumn="0" w:firstRowLastColumn="0" w:lastRowFirstColumn="0" w:lastRowLastColumn="0"/>
            <w:tcW w:w="2830" w:type="dxa"/>
          </w:tcPr>
          <w:p w14:paraId="17E16D90" w14:textId="77777777" w:rsidR="00A459F2" w:rsidRPr="00A459F2" w:rsidRDefault="00A459F2" w:rsidP="00ED5711">
            <w:pPr>
              <w:spacing w:before="0" w:after="0"/>
              <w:ind w:firstLine="0"/>
              <w:jc w:val="center"/>
              <w:rPr>
                <w:rFonts w:cs="Times New Roman"/>
                <w:b w:val="0"/>
                <w:sz w:val="22"/>
              </w:rPr>
            </w:pPr>
            <w:r w:rsidRPr="00A459F2">
              <w:rPr>
                <w:rFonts w:cs="Times New Roman"/>
                <w:b w:val="0"/>
                <w:sz w:val="22"/>
              </w:rPr>
              <w:t>Disciplines scientifiques</w:t>
            </w:r>
          </w:p>
        </w:tc>
        <w:tc>
          <w:tcPr>
            <w:tcW w:w="2032" w:type="dxa"/>
          </w:tcPr>
          <w:p w14:paraId="3E34DEB1" w14:textId="77777777" w:rsidR="00A459F2" w:rsidRPr="00A459F2" w:rsidRDefault="00A459F2" w:rsidP="00ED5711">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cs="Times New Roman"/>
                <w:b w:val="0"/>
                <w:sz w:val="22"/>
              </w:rPr>
            </w:pPr>
            <w:r w:rsidRPr="00A459F2">
              <w:rPr>
                <w:rFonts w:cs="Times New Roman"/>
                <w:b w:val="0"/>
                <w:sz w:val="22"/>
              </w:rPr>
              <w:t>Code des disciplines dans HAL</w:t>
            </w:r>
          </w:p>
        </w:tc>
        <w:tc>
          <w:tcPr>
            <w:tcW w:w="1717" w:type="dxa"/>
          </w:tcPr>
          <w:p w14:paraId="0D4FFAAE" w14:textId="77777777" w:rsidR="00A459F2" w:rsidRPr="00A459F2" w:rsidRDefault="00A459F2" w:rsidP="00ED5711">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cs="Times New Roman"/>
                <w:b w:val="0"/>
                <w:sz w:val="22"/>
              </w:rPr>
            </w:pPr>
            <w:r w:rsidRPr="00A459F2">
              <w:rPr>
                <w:rFonts w:cs="Times New Roman"/>
                <w:b w:val="0"/>
                <w:sz w:val="22"/>
              </w:rPr>
              <w:t>Documents (dont articles)</w:t>
            </w:r>
          </w:p>
        </w:tc>
        <w:tc>
          <w:tcPr>
            <w:tcW w:w="1820" w:type="dxa"/>
          </w:tcPr>
          <w:p w14:paraId="50509889" w14:textId="77777777" w:rsidR="00A459F2" w:rsidRPr="00A459F2" w:rsidRDefault="00A459F2" w:rsidP="00ED5711">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cs="Times New Roman"/>
                <w:b w:val="0"/>
                <w:sz w:val="22"/>
              </w:rPr>
            </w:pPr>
            <w:r w:rsidRPr="00A459F2">
              <w:rPr>
                <w:rFonts w:cs="Times New Roman"/>
                <w:b w:val="0"/>
                <w:sz w:val="22"/>
              </w:rPr>
              <w:t>% du total</w:t>
            </w:r>
          </w:p>
        </w:tc>
      </w:tr>
      <w:tr w:rsidR="00A459F2" w:rsidRPr="00A459F2" w14:paraId="1D0A5100" w14:textId="77777777" w:rsidTr="00ED57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64998B47" w14:textId="6A43028B" w:rsidR="00A459F2" w:rsidRPr="00A459F2" w:rsidRDefault="00A459F2" w:rsidP="00ED5711">
            <w:pPr>
              <w:spacing w:before="0" w:after="0"/>
              <w:ind w:firstLine="0"/>
              <w:jc w:val="center"/>
              <w:rPr>
                <w:rFonts w:cs="Times New Roman"/>
                <w:sz w:val="22"/>
              </w:rPr>
            </w:pPr>
            <w:r w:rsidRPr="00A459F2">
              <w:rPr>
                <w:rFonts w:cs="Times New Roman"/>
                <w:sz w:val="22"/>
              </w:rPr>
              <w:t xml:space="preserve">Sciences de l'homme et société </w:t>
            </w:r>
            <w:r w:rsidR="00ED5711">
              <w:rPr>
                <w:rFonts w:cs="Times New Roman"/>
                <w:sz w:val="22"/>
              </w:rPr>
              <w:br/>
            </w:r>
            <w:r w:rsidRPr="00A459F2">
              <w:rPr>
                <w:rFonts w:cs="Times New Roman"/>
                <w:sz w:val="22"/>
              </w:rPr>
              <w:t>(dont l’économie : « 1.shs.eco »)</w:t>
            </w:r>
          </w:p>
        </w:tc>
        <w:tc>
          <w:tcPr>
            <w:tcW w:w="2032" w:type="dxa"/>
          </w:tcPr>
          <w:p w14:paraId="718116A1"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shs</w:t>
            </w:r>
          </w:p>
        </w:tc>
        <w:tc>
          <w:tcPr>
            <w:tcW w:w="1717" w:type="dxa"/>
          </w:tcPr>
          <w:p w14:paraId="004E17A7" w14:textId="30A00CA6"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1</w:t>
            </w:r>
            <w:r w:rsidR="00ED5711">
              <w:rPr>
                <w:rFonts w:cs="Times New Roman"/>
                <w:sz w:val="22"/>
              </w:rPr>
              <w:t> </w:t>
            </w:r>
            <w:r w:rsidRPr="00A459F2">
              <w:rPr>
                <w:rFonts w:cs="Times New Roman"/>
                <w:sz w:val="22"/>
              </w:rPr>
              <w:t>240</w:t>
            </w:r>
            <w:r w:rsidR="00ED5711">
              <w:rPr>
                <w:rFonts w:cs="Times New Roman"/>
                <w:sz w:val="22"/>
              </w:rPr>
              <w:t> </w:t>
            </w:r>
            <w:r w:rsidRPr="00A459F2">
              <w:rPr>
                <w:rFonts w:cs="Times New Roman"/>
                <w:sz w:val="22"/>
              </w:rPr>
              <w:t>255</w:t>
            </w:r>
          </w:p>
        </w:tc>
        <w:tc>
          <w:tcPr>
            <w:tcW w:w="1820" w:type="dxa"/>
          </w:tcPr>
          <w:p w14:paraId="4EEE0A34"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34%</w:t>
            </w:r>
          </w:p>
        </w:tc>
      </w:tr>
      <w:tr w:rsidR="00A459F2" w:rsidRPr="00A459F2" w14:paraId="11461929" w14:textId="77777777" w:rsidTr="00ED5711">
        <w:tc>
          <w:tcPr>
            <w:cnfStyle w:val="001000000000" w:firstRow="0" w:lastRow="0" w:firstColumn="1" w:lastColumn="0" w:oddVBand="0" w:evenVBand="0" w:oddHBand="0" w:evenHBand="0" w:firstRowFirstColumn="0" w:firstRowLastColumn="0" w:lastRowFirstColumn="0" w:lastRowLastColumn="0"/>
            <w:tcW w:w="2830" w:type="dxa"/>
          </w:tcPr>
          <w:p w14:paraId="2FD22246" w14:textId="77777777" w:rsidR="00A459F2" w:rsidRPr="00A459F2" w:rsidRDefault="00A459F2" w:rsidP="00ED5711">
            <w:pPr>
              <w:spacing w:before="0" w:after="0"/>
              <w:ind w:firstLine="0"/>
              <w:jc w:val="center"/>
              <w:rPr>
                <w:rFonts w:cs="Times New Roman"/>
                <w:sz w:val="22"/>
              </w:rPr>
            </w:pPr>
            <w:r w:rsidRPr="00A459F2">
              <w:rPr>
                <w:rFonts w:cs="Times New Roman"/>
                <w:sz w:val="22"/>
              </w:rPr>
              <w:t>Sciences du vivant</w:t>
            </w:r>
          </w:p>
        </w:tc>
        <w:tc>
          <w:tcPr>
            <w:tcW w:w="2032" w:type="dxa"/>
          </w:tcPr>
          <w:p w14:paraId="2B79B6E4"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sdv</w:t>
            </w:r>
          </w:p>
        </w:tc>
        <w:tc>
          <w:tcPr>
            <w:tcW w:w="1717" w:type="dxa"/>
          </w:tcPr>
          <w:p w14:paraId="776A0C09" w14:textId="786581D4"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654</w:t>
            </w:r>
            <w:r w:rsidR="00ED5711">
              <w:rPr>
                <w:rFonts w:cs="Times New Roman"/>
                <w:sz w:val="22"/>
              </w:rPr>
              <w:t> </w:t>
            </w:r>
            <w:r w:rsidRPr="00A459F2">
              <w:rPr>
                <w:rFonts w:cs="Times New Roman"/>
                <w:sz w:val="22"/>
              </w:rPr>
              <w:t>724</w:t>
            </w:r>
          </w:p>
        </w:tc>
        <w:tc>
          <w:tcPr>
            <w:tcW w:w="1820" w:type="dxa"/>
          </w:tcPr>
          <w:p w14:paraId="3A5CB2DA"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18%</w:t>
            </w:r>
          </w:p>
        </w:tc>
      </w:tr>
      <w:tr w:rsidR="00A459F2" w:rsidRPr="00A459F2" w14:paraId="1259CBBC" w14:textId="77777777" w:rsidTr="00ED57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493FE3B4" w14:textId="77777777" w:rsidR="00A459F2" w:rsidRPr="00A459F2" w:rsidRDefault="00A459F2" w:rsidP="00ED5711">
            <w:pPr>
              <w:spacing w:before="0" w:after="0"/>
              <w:ind w:firstLine="0"/>
              <w:jc w:val="center"/>
              <w:rPr>
                <w:rFonts w:cs="Times New Roman"/>
                <w:sz w:val="22"/>
              </w:rPr>
            </w:pPr>
            <w:r w:rsidRPr="00A459F2">
              <w:rPr>
                <w:rFonts w:cs="Times New Roman"/>
                <w:sz w:val="22"/>
              </w:rPr>
              <w:t>Physique</w:t>
            </w:r>
          </w:p>
        </w:tc>
        <w:tc>
          <w:tcPr>
            <w:tcW w:w="2032" w:type="dxa"/>
          </w:tcPr>
          <w:p w14:paraId="330F57DE"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phys</w:t>
            </w:r>
          </w:p>
        </w:tc>
        <w:tc>
          <w:tcPr>
            <w:tcW w:w="1717" w:type="dxa"/>
          </w:tcPr>
          <w:p w14:paraId="6EAAB391" w14:textId="24F065D3"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369</w:t>
            </w:r>
            <w:r w:rsidR="00ED5711">
              <w:rPr>
                <w:rFonts w:cs="Times New Roman"/>
                <w:sz w:val="22"/>
              </w:rPr>
              <w:t> </w:t>
            </w:r>
            <w:r w:rsidRPr="00A459F2">
              <w:rPr>
                <w:rFonts w:cs="Times New Roman"/>
                <w:sz w:val="22"/>
              </w:rPr>
              <w:t>747</w:t>
            </w:r>
          </w:p>
        </w:tc>
        <w:tc>
          <w:tcPr>
            <w:tcW w:w="1820" w:type="dxa"/>
          </w:tcPr>
          <w:p w14:paraId="25B7AC4D"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10%</w:t>
            </w:r>
          </w:p>
        </w:tc>
      </w:tr>
      <w:tr w:rsidR="00A459F2" w:rsidRPr="00A459F2" w14:paraId="7F3EDDA3" w14:textId="77777777" w:rsidTr="00ED5711">
        <w:tc>
          <w:tcPr>
            <w:cnfStyle w:val="001000000000" w:firstRow="0" w:lastRow="0" w:firstColumn="1" w:lastColumn="0" w:oddVBand="0" w:evenVBand="0" w:oddHBand="0" w:evenHBand="0" w:firstRowFirstColumn="0" w:firstRowLastColumn="0" w:lastRowFirstColumn="0" w:lastRowLastColumn="0"/>
            <w:tcW w:w="2830" w:type="dxa"/>
          </w:tcPr>
          <w:p w14:paraId="19E9A2E5" w14:textId="77777777" w:rsidR="00A459F2" w:rsidRPr="00A459F2" w:rsidRDefault="00A459F2" w:rsidP="00ED5711">
            <w:pPr>
              <w:spacing w:before="0" w:after="0"/>
              <w:ind w:firstLine="0"/>
              <w:jc w:val="center"/>
              <w:rPr>
                <w:rFonts w:cs="Times New Roman"/>
                <w:sz w:val="22"/>
              </w:rPr>
            </w:pPr>
            <w:r w:rsidRPr="00A459F2">
              <w:rPr>
                <w:rFonts w:cs="Times New Roman"/>
                <w:sz w:val="22"/>
              </w:rPr>
              <w:t>Informatique</w:t>
            </w:r>
          </w:p>
        </w:tc>
        <w:tc>
          <w:tcPr>
            <w:tcW w:w="2032" w:type="dxa"/>
          </w:tcPr>
          <w:p w14:paraId="331AFC7D"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info</w:t>
            </w:r>
          </w:p>
        </w:tc>
        <w:tc>
          <w:tcPr>
            <w:tcW w:w="1717" w:type="dxa"/>
          </w:tcPr>
          <w:p w14:paraId="2D552453" w14:textId="7ED36E94"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346</w:t>
            </w:r>
            <w:r w:rsidR="00ED5711">
              <w:rPr>
                <w:rFonts w:cs="Times New Roman"/>
                <w:sz w:val="22"/>
              </w:rPr>
              <w:t> </w:t>
            </w:r>
            <w:r w:rsidRPr="00A459F2">
              <w:rPr>
                <w:rFonts w:cs="Times New Roman"/>
                <w:sz w:val="22"/>
              </w:rPr>
              <w:t>837</w:t>
            </w:r>
          </w:p>
        </w:tc>
        <w:tc>
          <w:tcPr>
            <w:tcW w:w="1820" w:type="dxa"/>
          </w:tcPr>
          <w:p w14:paraId="365F409F"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9%</w:t>
            </w:r>
          </w:p>
        </w:tc>
      </w:tr>
      <w:tr w:rsidR="00A459F2" w:rsidRPr="00A459F2" w14:paraId="3FFDA9B5" w14:textId="77777777" w:rsidTr="00ED57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29C9BA2A" w14:textId="77777777" w:rsidR="00A459F2" w:rsidRPr="00A459F2" w:rsidRDefault="00A459F2" w:rsidP="00ED5711">
            <w:pPr>
              <w:spacing w:before="0" w:after="0"/>
              <w:ind w:firstLine="0"/>
              <w:jc w:val="center"/>
              <w:rPr>
                <w:rFonts w:cs="Times New Roman"/>
                <w:sz w:val="22"/>
              </w:rPr>
            </w:pPr>
            <w:r w:rsidRPr="00A459F2">
              <w:rPr>
                <w:rFonts w:cs="Times New Roman"/>
                <w:sz w:val="22"/>
              </w:rPr>
              <w:t>Sciences de l'ingénieur</w:t>
            </w:r>
          </w:p>
        </w:tc>
        <w:tc>
          <w:tcPr>
            <w:tcW w:w="2032" w:type="dxa"/>
          </w:tcPr>
          <w:p w14:paraId="3AF7B227"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spi</w:t>
            </w:r>
          </w:p>
        </w:tc>
        <w:tc>
          <w:tcPr>
            <w:tcW w:w="1717" w:type="dxa"/>
          </w:tcPr>
          <w:p w14:paraId="4B7A544A" w14:textId="3BC4962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330</w:t>
            </w:r>
            <w:r w:rsidR="00ED5711">
              <w:rPr>
                <w:rFonts w:cs="Times New Roman"/>
                <w:sz w:val="22"/>
              </w:rPr>
              <w:t> </w:t>
            </w:r>
            <w:r w:rsidRPr="00A459F2">
              <w:rPr>
                <w:rFonts w:cs="Times New Roman"/>
                <w:sz w:val="22"/>
              </w:rPr>
              <w:t>229</w:t>
            </w:r>
          </w:p>
        </w:tc>
        <w:tc>
          <w:tcPr>
            <w:tcW w:w="1820" w:type="dxa"/>
          </w:tcPr>
          <w:p w14:paraId="2F0077B8"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9%</w:t>
            </w:r>
          </w:p>
        </w:tc>
      </w:tr>
      <w:tr w:rsidR="00A459F2" w:rsidRPr="00A459F2" w14:paraId="6EC8E9A5" w14:textId="77777777" w:rsidTr="00ED5711">
        <w:tc>
          <w:tcPr>
            <w:cnfStyle w:val="001000000000" w:firstRow="0" w:lastRow="0" w:firstColumn="1" w:lastColumn="0" w:oddVBand="0" w:evenVBand="0" w:oddHBand="0" w:evenHBand="0" w:firstRowFirstColumn="0" w:firstRowLastColumn="0" w:lastRowFirstColumn="0" w:lastRowLastColumn="0"/>
            <w:tcW w:w="2830" w:type="dxa"/>
          </w:tcPr>
          <w:p w14:paraId="016452C2" w14:textId="77777777" w:rsidR="00A459F2" w:rsidRPr="00A459F2" w:rsidRDefault="00A459F2" w:rsidP="00ED5711">
            <w:pPr>
              <w:spacing w:before="0" w:after="0"/>
              <w:ind w:firstLine="0"/>
              <w:jc w:val="center"/>
              <w:rPr>
                <w:rFonts w:cs="Times New Roman"/>
                <w:sz w:val="22"/>
              </w:rPr>
            </w:pPr>
            <w:r w:rsidRPr="00A459F2">
              <w:rPr>
                <w:rFonts w:cs="Times New Roman"/>
                <w:sz w:val="22"/>
              </w:rPr>
              <w:t>Sciences de l'environnement</w:t>
            </w:r>
          </w:p>
        </w:tc>
        <w:tc>
          <w:tcPr>
            <w:tcW w:w="2032" w:type="dxa"/>
          </w:tcPr>
          <w:p w14:paraId="00C79354"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sde</w:t>
            </w:r>
          </w:p>
        </w:tc>
        <w:tc>
          <w:tcPr>
            <w:tcW w:w="1717" w:type="dxa"/>
          </w:tcPr>
          <w:p w14:paraId="036BAF7F" w14:textId="1C00A8AE"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180</w:t>
            </w:r>
            <w:r w:rsidR="00ED5711">
              <w:rPr>
                <w:rFonts w:cs="Times New Roman"/>
                <w:sz w:val="22"/>
              </w:rPr>
              <w:t> </w:t>
            </w:r>
            <w:r w:rsidRPr="00A459F2">
              <w:rPr>
                <w:rFonts w:cs="Times New Roman"/>
                <w:sz w:val="22"/>
              </w:rPr>
              <w:t>752</w:t>
            </w:r>
          </w:p>
        </w:tc>
        <w:tc>
          <w:tcPr>
            <w:tcW w:w="1820" w:type="dxa"/>
          </w:tcPr>
          <w:p w14:paraId="55386008"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5%</w:t>
            </w:r>
          </w:p>
        </w:tc>
      </w:tr>
      <w:tr w:rsidR="00A459F2" w:rsidRPr="00A459F2" w14:paraId="764ADB0E" w14:textId="77777777" w:rsidTr="00ED57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2CB83E67" w14:textId="77777777" w:rsidR="00A459F2" w:rsidRPr="00A459F2" w:rsidRDefault="00A459F2" w:rsidP="00ED5711">
            <w:pPr>
              <w:spacing w:before="0" w:after="0"/>
              <w:ind w:firstLine="0"/>
              <w:jc w:val="center"/>
              <w:rPr>
                <w:rFonts w:cs="Times New Roman"/>
                <w:sz w:val="22"/>
              </w:rPr>
            </w:pPr>
            <w:r w:rsidRPr="00A459F2">
              <w:rPr>
                <w:rFonts w:cs="Times New Roman"/>
                <w:sz w:val="22"/>
              </w:rPr>
              <w:t>Chimie</w:t>
            </w:r>
          </w:p>
        </w:tc>
        <w:tc>
          <w:tcPr>
            <w:tcW w:w="2032" w:type="dxa"/>
          </w:tcPr>
          <w:p w14:paraId="333EB8C8"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chim</w:t>
            </w:r>
          </w:p>
        </w:tc>
        <w:tc>
          <w:tcPr>
            <w:tcW w:w="1717" w:type="dxa"/>
          </w:tcPr>
          <w:p w14:paraId="08438F73" w14:textId="53C89663"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175</w:t>
            </w:r>
            <w:r w:rsidR="00ED5711">
              <w:rPr>
                <w:rFonts w:cs="Times New Roman"/>
                <w:sz w:val="22"/>
              </w:rPr>
              <w:t> </w:t>
            </w:r>
            <w:r w:rsidRPr="00A459F2">
              <w:rPr>
                <w:rFonts w:cs="Times New Roman"/>
                <w:sz w:val="22"/>
              </w:rPr>
              <w:t>469</w:t>
            </w:r>
          </w:p>
        </w:tc>
        <w:tc>
          <w:tcPr>
            <w:tcW w:w="1820" w:type="dxa"/>
          </w:tcPr>
          <w:p w14:paraId="22E2EA7F"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5%</w:t>
            </w:r>
          </w:p>
        </w:tc>
      </w:tr>
      <w:tr w:rsidR="00A459F2" w:rsidRPr="00A459F2" w14:paraId="29CBD1CA" w14:textId="77777777" w:rsidTr="00ED5711">
        <w:tc>
          <w:tcPr>
            <w:cnfStyle w:val="001000000000" w:firstRow="0" w:lastRow="0" w:firstColumn="1" w:lastColumn="0" w:oddVBand="0" w:evenVBand="0" w:oddHBand="0" w:evenHBand="0" w:firstRowFirstColumn="0" w:firstRowLastColumn="0" w:lastRowFirstColumn="0" w:lastRowLastColumn="0"/>
            <w:tcW w:w="2830" w:type="dxa"/>
          </w:tcPr>
          <w:p w14:paraId="30C2AEE2" w14:textId="77777777" w:rsidR="00A459F2" w:rsidRPr="00A459F2" w:rsidRDefault="00A459F2" w:rsidP="00ED5711">
            <w:pPr>
              <w:spacing w:before="0" w:after="0"/>
              <w:ind w:firstLine="0"/>
              <w:jc w:val="center"/>
              <w:rPr>
                <w:rFonts w:cs="Times New Roman"/>
                <w:sz w:val="22"/>
              </w:rPr>
            </w:pPr>
            <w:r w:rsidRPr="00A459F2">
              <w:rPr>
                <w:rFonts w:cs="Times New Roman"/>
                <w:sz w:val="22"/>
              </w:rPr>
              <w:t>Planète et univers</w:t>
            </w:r>
          </w:p>
        </w:tc>
        <w:tc>
          <w:tcPr>
            <w:tcW w:w="2032" w:type="dxa"/>
          </w:tcPr>
          <w:p w14:paraId="37BBE540"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sdu</w:t>
            </w:r>
          </w:p>
        </w:tc>
        <w:tc>
          <w:tcPr>
            <w:tcW w:w="1717" w:type="dxa"/>
          </w:tcPr>
          <w:p w14:paraId="3E56973A" w14:textId="6B08C37B"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143</w:t>
            </w:r>
            <w:r w:rsidR="00ED5711">
              <w:rPr>
                <w:rFonts w:cs="Times New Roman"/>
                <w:sz w:val="22"/>
              </w:rPr>
              <w:t> </w:t>
            </w:r>
            <w:r w:rsidRPr="00A459F2">
              <w:rPr>
                <w:rFonts w:cs="Times New Roman"/>
                <w:sz w:val="22"/>
              </w:rPr>
              <w:t>957</w:t>
            </w:r>
          </w:p>
        </w:tc>
        <w:tc>
          <w:tcPr>
            <w:tcW w:w="1820" w:type="dxa"/>
          </w:tcPr>
          <w:p w14:paraId="1AF450C8"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4%</w:t>
            </w:r>
          </w:p>
        </w:tc>
      </w:tr>
      <w:tr w:rsidR="00A459F2" w:rsidRPr="00A459F2" w14:paraId="69AFA071" w14:textId="77777777" w:rsidTr="00ED57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0B3BF0A7" w14:textId="77777777" w:rsidR="00A459F2" w:rsidRPr="00A459F2" w:rsidRDefault="00A459F2" w:rsidP="00ED5711">
            <w:pPr>
              <w:spacing w:before="0" w:after="0"/>
              <w:ind w:firstLine="0"/>
              <w:jc w:val="center"/>
              <w:rPr>
                <w:rFonts w:cs="Times New Roman"/>
                <w:sz w:val="22"/>
              </w:rPr>
            </w:pPr>
            <w:r w:rsidRPr="00A459F2">
              <w:rPr>
                <w:rFonts w:cs="Times New Roman"/>
                <w:sz w:val="22"/>
              </w:rPr>
              <w:lastRenderedPageBreak/>
              <w:t>Mathématiques</w:t>
            </w:r>
          </w:p>
        </w:tc>
        <w:tc>
          <w:tcPr>
            <w:tcW w:w="2032" w:type="dxa"/>
          </w:tcPr>
          <w:p w14:paraId="158BE7F9"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math</w:t>
            </w:r>
          </w:p>
        </w:tc>
        <w:tc>
          <w:tcPr>
            <w:tcW w:w="1717" w:type="dxa"/>
          </w:tcPr>
          <w:p w14:paraId="334F02DD" w14:textId="7AD0F0F6"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126</w:t>
            </w:r>
            <w:r w:rsidR="00ED5711">
              <w:rPr>
                <w:rFonts w:cs="Times New Roman"/>
                <w:sz w:val="22"/>
              </w:rPr>
              <w:t> </w:t>
            </w:r>
            <w:r w:rsidRPr="00A459F2">
              <w:rPr>
                <w:rFonts w:cs="Times New Roman"/>
                <w:sz w:val="22"/>
              </w:rPr>
              <w:t>885</w:t>
            </w:r>
          </w:p>
        </w:tc>
        <w:tc>
          <w:tcPr>
            <w:tcW w:w="1820" w:type="dxa"/>
          </w:tcPr>
          <w:p w14:paraId="792DB618"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3%</w:t>
            </w:r>
          </w:p>
        </w:tc>
      </w:tr>
      <w:tr w:rsidR="00A459F2" w:rsidRPr="00A459F2" w14:paraId="2E900CED" w14:textId="77777777" w:rsidTr="00ED5711">
        <w:tc>
          <w:tcPr>
            <w:cnfStyle w:val="001000000000" w:firstRow="0" w:lastRow="0" w:firstColumn="1" w:lastColumn="0" w:oddVBand="0" w:evenVBand="0" w:oddHBand="0" w:evenHBand="0" w:firstRowFirstColumn="0" w:firstRowLastColumn="0" w:lastRowFirstColumn="0" w:lastRowLastColumn="0"/>
            <w:tcW w:w="2830" w:type="dxa"/>
          </w:tcPr>
          <w:p w14:paraId="11AAF448" w14:textId="77777777" w:rsidR="00A459F2" w:rsidRPr="00A459F2" w:rsidRDefault="00A459F2" w:rsidP="00ED5711">
            <w:pPr>
              <w:spacing w:before="0" w:after="0"/>
              <w:ind w:firstLine="0"/>
              <w:jc w:val="center"/>
              <w:rPr>
                <w:rFonts w:cs="Times New Roman"/>
                <w:sz w:val="22"/>
              </w:rPr>
            </w:pPr>
            <w:r w:rsidRPr="00A459F2">
              <w:rPr>
                <w:rFonts w:cs="Times New Roman"/>
                <w:sz w:val="22"/>
              </w:rPr>
              <w:t>Sciences cognitives</w:t>
            </w:r>
          </w:p>
        </w:tc>
        <w:tc>
          <w:tcPr>
            <w:tcW w:w="2032" w:type="dxa"/>
          </w:tcPr>
          <w:p w14:paraId="666A30D7"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scco</w:t>
            </w:r>
          </w:p>
        </w:tc>
        <w:tc>
          <w:tcPr>
            <w:tcW w:w="1717" w:type="dxa"/>
          </w:tcPr>
          <w:p w14:paraId="12E09B46" w14:textId="0587E95D"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46</w:t>
            </w:r>
            <w:r w:rsidR="00ED5711">
              <w:rPr>
                <w:rFonts w:cs="Times New Roman"/>
                <w:sz w:val="22"/>
              </w:rPr>
              <w:t> </w:t>
            </w:r>
            <w:r w:rsidRPr="00A459F2">
              <w:rPr>
                <w:rFonts w:cs="Times New Roman"/>
                <w:sz w:val="22"/>
              </w:rPr>
              <w:t>521</w:t>
            </w:r>
          </w:p>
        </w:tc>
        <w:tc>
          <w:tcPr>
            <w:tcW w:w="1820" w:type="dxa"/>
          </w:tcPr>
          <w:p w14:paraId="4DB186E0"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1%</w:t>
            </w:r>
          </w:p>
        </w:tc>
      </w:tr>
      <w:tr w:rsidR="00A459F2" w:rsidRPr="00A459F2" w14:paraId="0426D445" w14:textId="77777777" w:rsidTr="00ED57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674CB9DC" w14:textId="77777777" w:rsidR="00A459F2" w:rsidRPr="00A459F2" w:rsidRDefault="00A459F2" w:rsidP="00ED5711">
            <w:pPr>
              <w:spacing w:before="0" w:after="0"/>
              <w:ind w:firstLine="0"/>
              <w:jc w:val="center"/>
              <w:rPr>
                <w:rFonts w:cs="Times New Roman"/>
                <w:sz w:val="22"/>
              </w:rPr>
            </w:pPr>
            <w:r w:rsidRPr="00A459F2">
              <w:rPr>
                <w:rFonts w:cs="Times New Roman"/>
                <w:sz w:val="22"/>
              </w:rPr>
              <w:t>Statistiques</w:t>
            </w:r>
          </w:p>
        </w:tc>
        <w:tc>
          <w:tcPr>
            <w:tcW w:w="2032" w:type="dxa"/>
          </w:tcPr>
          <w:p w14:paraId="05831DFE"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stat</w:t>
            </w:r>
          </w:p>
        </w:tc>
        <w:tc>
          <w:tcPr>
            <w:tcW w:w="1717" w:type="dxa"/>
          </w:tcPr>
          <w:p w14:paraId="1222506C" w14:textId="2F3E9918"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20</w:t>
            </w:r>
            <w:r w:rsidR="00ED5711">
              <w:rPr>
                <w:rFonts w:cs="Times New Roman"/>
                <w:sz w:val="22"/>
              </w:rPr>
              <w:t> </w:t>
            </w:r>
            <w:r w:rsidRPr="00A459F2">
              <w:rPr>
                <w:rFonts w:cs="Times New Roman"/>
                <w:sz w:val="22"/>
              </w:rPr>
              <w:t>735</w:t>
            </w:r>
          </w:p>
        </w:tc>
        <w:tc>
          <w:tcPr>
            <w:tcW w:w="1820" w:type="dxa"/>
          </w:tcPr>
          <w:p w14:paraId="49740D16"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1%</w:t>
            </w:r>
          </w:p>
        </w:tc>
      </w:tr>
      <w:tr w:rsidR="00A459F2" w:rsidRPr="00A459F2" w14:paraId="6A72B242" w14:textId="77777777" w:rsidTr="00ED5711">
        <w:tc>
          <w:tcPr>
            <w:cnfStyle w:val="001000000000" w:firstRow="0" w:lastRow="0" w:firstColumn="1" w:lastColumn="0" w:oddVBand="0" w:evenVBand="0" w:oddHBand="0" w:evenHBand="0" w:firstRowFirstColumn="0" w:firstRowLastColumn="0" w:lastRowFirstColumn="0" w:lastRowLastColumn="0"/>
            <w:tcW w:w="2830" w:type="dxa"/>
          </w:tcPr>
          <w:p w14:paraId="60AA1549" w14:textId="77777777" w:rsidR="00A459F2" w:rsidRPr="00A459F2" w:rsidRDefault="00A459F2" w:rsidP="00ED5711">
            <w:pPr>
              <w:spacing w:before="0" w:after="0"/>
              <w:ind w:firstLine="0"/>
              <w:jc w:val="center"/>
              <w:rPr>
                <w:rFonts w:cs="Times New Roman"/>
                <w:sz w:val="22"/>
              </w:rPr>
            </w:pPr>
            <w:r w:rsidRPr="00A459F2">
              <w:rPr>
                <w:rFonts w:cs="Times New Roman"/>
                <w:sz w:val="22"/>
              </w:rPr>
              <w:t>Économie et finance quantitative</w:t>
            </w:r>
          </w:p>
        </w:tc>
        <w:tc>
          <w:tcPr>
            <w:tcW w:w="2032" w:type="dxa"/>
          </w:tcPr>
          <w:p w14:paraId="77FF7087"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qfin</w:t>
            </w:r>
          </w:p>
        </w:tc>
        <w:tc>
          <w:tcPr>
            <w:tcW w:w="1717" w:type="dxa"/>
          </w:tcPr>
          <w:p w14:paraId="1D8CD12C" w14:textId="7B4DE202"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10</w:t>
            </w:r>
            <w:r w:rsidR="00ED5711">
              <w:rPr>
                <w:rFonts w:cs="Times New Roman"/>
                <w:sz w:val="22"/>
              </w:rPr>
              <w:t> </w:t>
            </w:r>
            <w:r w:rsidRPr="00A459F2">
              <w:rPr>
                <w:rFonts w:cs="Times New Roman"/>
                <w:sz w:val="22"/>
              </w:rPr>
              <w:t>884</w:t>
            </w:r>
          </w:p>
        </w:tc>
        <w:tc>
          <w:tcPr>
            <w:tcW w:w="1820" w:type="dxa"/>
          </w:tcPr>
          <w:p w14:paraId="3E414EA4"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sz w:val="22"/>
              </w:rPr>
            </w:pPr>
            <w:r w:rsidRPr="00A459F2">
              <w:rPr>
                <w:rFonts w:cs="Times New Roman"/>
                <w:sz w:val="22"/>
              </w:rPr>
              <w:t>0%</w:t>
            </w:r>
          </w:p>
        </w:tc>
      </w:tr>
      <w:tr w:rsidR="00A459F2" w:rsidRPr="00A459F2" w14:paraId="6B5D997C" w14:textId="77777777" w:rsidTr="00ED57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14:paraId="4D2D6F28" w14:textId="77777777" w:rsidR="00A459F2" w:rsidRPr="00A459F2" w:rsidRDefault="00A459F2" w:rsidP="00ED5711">
            <w:pPr>
              <w:spacing w:before="0" w:after="0"/>
              <w:ind w:firstLine="0"/>
              <w:jc w:val="center"/>
              <w:rPr>
                <w:rFonts w:cs="Times New Roman"/>
                <w:sz w:val="22"/>
              </w:rPr>
            </w:pPr>
            <w:r w:rsidRPr="00A459F2">
              <w:rPr>
                <w:rFonts w:cs="Times New Roman"/>
                <w:sz w:val="22"/>
              </w:rPr>
              <w:t>Science non linéaire</w:t>
            </w:r>
          </w:p>
        </w:tc>
        <w:tc>
          <w:tcPr>
            <w:tcW w:w="2032" w:type="dxa"/>
          </w:tcPr>
          <w:p w14:paraId="630E41EC"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nlin</w:t>
            </w:r>
          </w:p>
        </w:tc>
        <w:tc>
          <w:tcPr>
            <w:tcW w:w="1717" w:type="dxa"/>
          </w:tcPr>
          <w:p w14:paraId="3503E642" w14:textId="32236D0C"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4</w:t>
            </w:r>
            <w:r w:rsidR="00ED5711">
              <w:rPr>
                <w:rFonts w:cs="Times New Roman"/>
                <w:sz w:val="22"/>
              </w:rPr>
              <w:t> </w:t>
            </w:r>
            <w:r w:rsidRPr="00A459F2">
              <w:rPr>
                <w:rFonts w:cs="Times New Roman"/>
                <w:sz w:val="22"/>
              </w:rPr>
              <w:t>362</w:t>
            </w:r>
          </w:p>
        </w:tc>
        <w:tc>
          <w:tcPr>
            <w:tcW w:w="1820" w:type="dxa"/>
          </w:tcPr>
          <w:p w14:paraId="71A53E8D" w14:textId="77777777" w:rsidR="00A459F2" w:rsidRPr="00A459F2" w:rsidRDefault="00A459F2" w:rsidP="00ED5711">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cs="Times New Roman"/>
                <w:sz w:val="22"/>
              </w:rPr>
            </w:pPr>
            <w:r w:rsidRPr="00A459F2">
              <w:rPr>
                <w:rFonts w:cs="Times New Roman"/>
                <w:sz w:val="22"/>
              </w:rPr>
              <w:t>0%</w:t>
            </w:r>
          </w:p>
        </w:tc>
      </w:tr>
      <w:tr w:rsidR="00A459F2" w:rsidRPr="00A459F2" w14:paraId="7473C812" w14:textId="77777777" w:rsidTr="00ED5711">
        <w:trPr>
          <w:trHeight w:val="66"/>
        </w:trPr>
        <w:tc>
          <w:tcPr>
            <w:cnfStyle w:val="001000000000" w:firstRow="0" w:lastRow="0" w:firstColumn="1" w:lastColumn="0" w:oddVBand="0" w:evenVBand="0" w:oddHBand="0" w:evenHBand="0" w:firstRowFirstColumn="0" w:firstRowLastColumn="0" w:lastRowFirstColumn="0" w:lastRowLastColumn="0"/>
            <w:tcW w:w="2830" w:type="dxa"/>
          </w:tcPr>
          <w:p w14:paraId="00D62A67" w14:textId="77777777" w:rsidR="00A459F2" w:rsidRPr="00A459F2" w:rsidRDefault="00A459F2" w:rsidP="00ED5711">
            <w:pPr>
              <w:spacing w:before="0" w:after="0"/>
              <w:ind w:firstLine="0"/>
              <w:jc w:val="center"/>
              <w:rPr>
                <w:rFonts w:cs="Times New Roman"/>
                <w:b/>
                <w:sz w:val="22"/>
              </w:rPr>
            </w:pPr>
            <w:r w:rsidRPr="00A459F2">
              <w:rPr>
                <w:rFonts w:cs="Times New Roman"/>
                <w:b/>
                <w:sz w:val="22"/>
              </w:rPr>
              <w:t>Cumul</w:t>
            </w:r>
          </w:p>
        </w:tc>
        <w:tc>
          <w:tcPr>
            <w:tcW w:w="2032" w:type="dxa"/>
          </w:tcPr>
          <w:p w14:paraId="33256ABD"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b/>
                <w:sz w:val="22"/>
              </w:rPr>
            </w:pPr>
          </w:p>
        </w:tc>
        <w:tc>
          <w:tcPr>
            <w:tcW w:w="1717" w:type="dxa"/>
          </w:tcPr>
          <w:p w14:paraId="3D7CACC7" w14:textId="76D10AE9"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b/>
                <w:sz w:val="22"/>
              </w:rPr>
            </w:pPr>
            <w:r w:rsidRPr="00A459F2">
              <w:rPr>
                <w:rFonts w:cs="Times New Roman"/>
                <w:b/>
                <w:sz w:val="22"/>
              </w:rPr>
              <w:t>3</w:t>
            </w:r>
            <w:r w:rsidR="00ED5711">
              <w:rPr>
                <w:rFonts w:cs="Times New Roman"/>
                <w:b/>
                <w:sz w:val="22"/>
              </w:rPr>
              <w:t> </w:t>
            </w:r>
            <w:r w:rsidRPr="00A459F2">
              <w:rPr>
                <w:rFonts w:cs="Times New Roman"/>
                <w:b/>
                <w:sz w:val="22"/>
              </w:rPr>
              <w:t>651</w:t>
            </w:r>
            <w:r w:rsidR="00ED5711">
              <w:rPr>
                <w:rFonts w:cs="Times New Roman"/>
                <w:b/>
                <w:sz w:val="22"/>
              </w:rPr>
              <w:t> </w:t>
            </w:r>
            <w:r w:rsidRPr="00A459F2">
              <w:rPr>
                <w:rFonts w:cs="Times New Roman"/>
                <w:b/>
                <w:sz w:val="22"/>
              </w:rPr>
              <w:t>357</w:t>
            </w:r>
          </w:p>
        </w:tc>
        <w:tc>
          <w:tcPr>
            <w:tcW w:w="1820" w:type="dxa"/>
          </w:tcPr>
          <w:p w14:paraId="72FD24A5" w14:textId="77777777" w:rsidR="00A459F2" w:rsidRPr="00A459F2" w:rsidRDefault="00A459F2" w:rsidP="00ED5711">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cs="Times New Roman"/>
                <w:b/>
                <w:sz w:val="22"/>
              </w:rPr>
            </w:pPr>
            <w:r w:rsidRPr="00A459F2">
              <w:rPr>
                <w:rFonts w:cs="Times New Roman"/>
                <w:b/>
                <w:sz w:val="22"/>
              </w:rPr>
              <w:t>100%</w:t>
            </w:r>
          </w:p>
        </w:tc>
      </w:tr>
    </w:tbl>
    <w:p w14:paraId="18CF5DBE" w14:textId="77777777" w:rsidR="00A459F2" w:rsidRPr="00A459F2" w:rsidRDefault="00A459F2" w:rsidP="00ED5711">
      <w:pPr>
        <w:pStyle w:val="Sourcenote"/>
        <w:rPr>
          <w:rFonts w:eastAsia="Calibri"/>
        </w:rPr>
      </w:pPr>
      <w:r w:rsidRPr="00A459F2">
        <w:rPr>
          <w:rFonts w:eastAsia="Calibri"/>
        </w:rPr>
        <w:t>Source : statistiques relatives aux disciplines scientifiques de l’archive HAL (</w:t>
      </w:r>
      <w:hyperlink r:id="rId26" w:history="1">
        <w:r w:rsidRPr="00A459F2">
          <w:rPr>
            <w:rFonts w:eastAsia="Calibri"/>
            <w:color w:val="0563C1"/>
            <w:u w:val="single"/>
          </w:rPr>
          <w:t>https://hal.science/browse/domain</w:t>
        </w:r>
      </w:hyperlink>
      <w:r w:rsidRPr="00A459F2">
        <w:rPr>
          <w:rFonts w:eastAsia="Calibri"/>
        </w:rPr>
        <w:t>), consultées le 10/05/2023. La terminologie des disciplines a été reprise de HAL.</w:t>
      </w:r>
    </w:p>
    <w:p w14:paraId="168E3CEB" w14:textId="19BBEBCA" w:rsidR="007D5B86" w:rsidRDefault="007D5B86" w:rsidP="007D5B86">
      <w:pPr>
        <w:rPr>
          <w:u w:val="single"/>
        </w:rPr>
      </w:pPr>
      <w:r w:rsidRPr="00C93A02">
        <w:rPr>
          <w:u w:val="single"/>
        </w:rPr>
        <w:t>I.</w:t>
      </w:r>
      <w:r w:rsidR="00195C26">
        <w:rPr>
          <w:u w:val="single"/>
        </w:rPr>
        <w:t>B.2</w:t>
      </w:r>
      <w:r w:rsidRPr="00C93A02">
        <w:rPr>
          <w:u w:val="single"/>
        </w:rPr>
        <w:t xml:space="preserve">. </w:t>
      </w:r>
      <w:r>
        <w:rPr>
          <w:u w:val="single"/>
        </w:rPr>
        <w:t>Estimation de l’erreur commise sur la base du jeu de données de référence de l’ANR pour le PNACC</w:t>
      </w:r>
    </w:p>
    <w:p w14:paraId="4EC6C5AB" w14:textId="25D03432" w:rsidR="007D5B86" w:rsidRDefault="00B52820" w:rsidP="007D5B86">
      <w:r>
        <w:t>Les résultats rapportés dans ce tableau ci-dessous confirment le caractère optimal de la recherche par racines de mots clés.</w:t>
      </w:r>
      <w:r w:rsidR="00F06724">
        <w:t xml:space="preserve"> Les écarts avec l’ANR s’expliquent par le fait que la méthode de Nalau et Verall n’a été conçue que pour capter qu’une sous-partie bien précise du deuxième groupe du GIEC : </w:t>
      </w:r>
      <w:r w:rsidR="006D7507">
        <w:t>la sous-partie</w:t>
      </w:r>
      <w:r w:rsidR="00F06724">
        <w:t xml:space="preserve"> dévolue à l’adaptation. </w:t>
      </w:r>
    </w:p>
    <w:p w14:paraId="32BB7622" w14:textId="6BC95665" w:rsidR="00B52820" w:rsidRDefault="00B52820" w:rsidP="00B52820">
      <w:pPr>
        <w:pStyle w:val="Titretableau"/>
      </w:pPr>
      <w:r>
        <w:t> Estimation de l’erreur commise en regard du jeu de données de l’ANR.</w:t>
      </w:r>
    </w:p>
    <w:tbl>
      <w:tblPr>
        <w:tblStyle w:val="Grilledutableau"/>
        <w:tblW w:w="9074" w:type="dxa"/>
        <w:jc w:val="center"/>
        <w:tblInd w:w="0" w:type="dxa"/>
        <w:tblLook w:val="04A0" w:firstRow="1" w:lastRow="0" w:firstColumn="1" w:lastColumn="0" w:noHBand="0" w:noVBand="1"/>
      </w:tblPr>
      <w:tblGrid>
        <w:gridCol w:w="1861"/>
        <w:gridCol w:w="1744"/>
        <w:gridCol w:w="1472"/>
        <w:gridCol w:w="1393"/>
        <w:gridCol w:w="1176"/>
        <w:gridCol w:w="1428"/>
      </w:tblGrid>
      <w:tr w:rsidR="00B52820" w:rsidRPr="00AA6286" w14:paraId="29E72726" w14:textId="0AB3C317" w:rsidTr="00B5282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084FD93" w14:textId="3A469FA5" w:rsidR="00B52820" w:rsidRPr="00AA6286" w:rsidRDefault="00B52820" w:rsidP="00B52820">
            <w:pPr>
              <w:spacing w:before="0" w:after="0"/>
              <w:ind w:firstLine="0"/>
              <w:jc w:val="center"/>
              <w:rPr>
                <w:rFonts w:asciiTheme="majorHAnsi" w:hAnsiTheme="majorHAnsi" w:cstheme="majorHAnsi"/>
                <w:szCs w:val="24"/>
              </w:rPr>
            </w:pPr>
            <w:r w:rsidRPr="00AA6286">
              <w:rPr>
                <w:rFonts w:asciiTheme="majorHAnsi" w:eastAsia="Calibri" w:hAnsiTheme="majorHAnsi" w:cstheme="majorHAnsi"/>
                <w:szCs w:val="24"/>
              </w:rPr>
              <w:t>Modalité d’analyse sémantique (sans les critères d’exclusion)</w:t>
            </w:r>
          </w:p>
        </w:tc>
        <w:tc>
          <w:tcPr>
            <w:tcW w:w="0" w:type="auto"/>
          </w:tcPr>
          <w:p w14:paraId="466A7F96" w14:textId="561785B6" w:rsidR="00B52820" w:rsidRPr="00AA6286" w:rsidRDefault="00B52820" w:rsidP="00B52820">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Total indiqué par l’ANR comme étant dans le périmètre du PNACC</w:t>
            </w:r>
          </w:p>
        </w:tc>
        <w:tc>
          <w:tcPr>
            <w:tcW w:w="0" w:type="auto"/>
          </w:tcPr>
          <w:p w14:paraId="7EAD7FDF" w14:textId="1B079346" w:rsidR="00B52820" w:rsidRPr="00AA6286" w:rsidRDefault="00B52820" w:rsidP="00B52820">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Total détecté par la Cour avec la méthode indiquée</w:t>
            </w:r>
          </w:p>
        </w:tc>
        <w:tc>
          <w:tcPr>
            <w:tcW w:w="0" w:type="auto"/>
          </w:tcPr>
          <w:p w14:paraId="5CF73DD6" w14:textId="5EE766F8" w:rsidR="00B52820" w:rsidRPr="00AA6286" w:rsidRDefault="00B52820" w:rsidP="00B52820">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 xml:space="preserve">Total détecté par la Cour </w:t>
            </w:r>
            <w:r>
              <w:rPr>
                <w:rFonts w:asciiTheme="majorHAnsi" w:hAnsiTheme="majorHAnsi" w:cstheme="majorHAnsi"/>
                <w:szCs w:val="24"/>
              </w:rPr>
              <w:t>présent dans le jeu de l’ANR</w:t>
            </w:r>
          </w:p>
        </w:tc>
        <w:tc>
          <w:tcPr>
            <w:tcW w:w="0" w:type="auto"/>
          </w:tcPr>
          <w:p w14:paraId="3BF45130" w14:textId="27113F9B" w:rsidR="00B52820" w:rsidRPr="00AA6286" w:rsidRDefault="00B52820" w:rsidP="00B52820">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 xml:space="preserve">Part </w:t>
            </w:r>
            <w:r>
              <w:rPr>
                <w:rFonts w:asciiTheme="majorHAnsi" w:hAnsiTheme="majorHAnsi" w:cstheme="majorHAnsi"/>
                <w:szCs w:val="24"/>
              </w:rPr>
              <w:t>du jeu de l’ANR capté par la Cour</w:t>
            </w:r>
          </w:p>
        </w:tc>
        <w:tc>
          <w:tcPr>
            <w:tcW w:w="0" w:type="auto"/>
          </w:tcPr>
          <w:p w14:paraId="610F7ACE" w14:textId="0BE27B49" w:rsidR="00B52820" w:rsidRPr="00AA6286" w:rsidRDefault="00B52820" w:rsidP="00B52820">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Part de « vrais positifs »</w:t>
            </w:r>
            <w:r>
              <w:rPr>
                <w:rFonts w:asciiTheme="majorHAnsi" w:hAnsiTheme="majorHAnsi" w:cstheme="majorHAnsi"/>
                <w:szCs w:val="24"/>
              </w:rPr>
              <w:t xml:space="preserve"> parmi les détectés</w:t>
            </w:r>
          </w:p>
        </w:tc>
      </w:tr>
      <w:tr w:rsidR="00B52820" w:rsidRPr="00AA6286" w14:paraId="061F5129" w14:textId="1672CBAC" w:rsidTr="00B52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655AB74F" w14:textId="12F50D23" w:rsidR="00B52820" w:rsidRPr="00AA6286" w:rsidRDefault="00B52820" w:rsidP="00B52820">
            <w:pPr>
              <w:spacing w:before="0" w:after="0"/>
              <w:ind w:firstLine="0"/>
              <w:jc w:val="center"/>
              <w:rPr>
                <w:rFonts w:asciiTheme="majorHAnsi" w:hAnsiTheme="majorHAnsi" w:cstheme="majorHAnsi"/>
                <w:szCs w:val="24"/>
              </w:rPr>
            </w:pPr>
            <w:r w:rsidRPr="00AA6286">
              <w:rPr>
                <w:rFonts w:asciiTheme="majorHAnsi" w:eastAsia="Calibri" w:hAnsiTheme="majorHAnsi" w:cstheme="majorHAnsi"/>
                <w:szCs w:val="24"/>
              </w:rPr>
              <w:t>Détection par phrase</w:t>
            </w:r>
          </w:p>
        </w:tc>
        <w:tc>
          <w:tcPr>
            <w:tcW w:w="0" w:type="auto"/>
          </w:tcPr>
          <w:p w14:paraId="23D5AF61" w14:textId="3B462AE7"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828</w:t>
            </w:r>
          </w:p>
        </w:tc>
        <w:tc>
          <w:tcPr>
            <w:tcW w:w="0" w:type="auto"/>
          </w:tcPr>
          <w:p w14:paraId="57B5D628" w14:textId="1028A8F3"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79</w:t>
            </w:r>
          </w:p>
        </w:tc>
        <w:tc>
          <w:tcPr>
            <w:tcW w:w="0" w:type="auto"/>
          </w:tcPr>
          <w:p w14:paraId="580A7640" w14:textId="094F8CD0"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63</w:t>
            </w:r>
          </w:p>
        </w:tc>
        <w:tc>
          <w:tcPr>
            <w:tcW w:w="0" w:type="auto"/>
          </w:tcPr>
          <w:p w14:paraId="11AF4E8E" w14:textId="051B0022"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7,6 %</w:t>
            </w:r>
          </w:p>
        </w:tc>
        <w:tc>
          <w:tcPr>
            <w:tcW w:w="0" w:type="auto"/>
          </w:tcPr>
          <w:p w14:paraId="75E5A607" w14:textId="2A32C884"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79,7 %</w:t>
            </w:r>
          </w:p>
        </w:tc>
      </w:tr>
      <w:tr w:rsidR="00B52820" w:rsidRPr="00AA6286" w14:paraId="2CC9399E" w14:textId="77777777" w:rsidTr="00B52820">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D18D3C3" w14:textId="5E05A32C" w:rsidR="00B52820" w:rsidRPr="00B52820" w:rsidRDefault="00B52820" w:rsidP="00B52820">
            <w:pPr>
              <w:spacing w:before="0" w:after="0"/>
              <w:ind w:firstLine="0"/>
              <w:jc w:val="center"/>
              <w:rPr>
                <w:rFonts w:asciiTheme="majorHAnsi" w:hAnsiTheme="majorHAnsi" w:cstheme="majorHAnsi"/>
                <w:b/>
                <w:szCs w:val="24"/>
              </w:rPr>
            </w:pPr>
            <w:r w:rsidRPr="00B52820">
              <w:rPr>
                <w:rFonts w:asciiTheme="majorHAnsi" w:eastAsia="Calibri" w:hAnsiTheme="majorHAnsi" w:cstheme="majorHAnsi"/>
                <w:b/>
                <w:szCs w:val="24"/>
              </w:rPr>
              <w:t>Détection par racines de mots</w:t>
            </w:r>
          </w:p>
        </w:tc>
        <w:tc>
          <w:tcPr>
            <w:tcW w:w="0" w:type="auto"/>
          </w:tcPr>
          <w:p w14:paraId="702AF394" w14:textId="6446D87A" w:rsidR="00B52820" w:rsidRPr="00B52820" w:rsidRDefault="00B52820" w:rsidP="00B52820">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B52820">
              <w:rPr>
                <w:rFonts w:asciiTheme="majorHAnsi" w:hAnsiTheme="majorHAnsi" w:cstheme="majorHAnsi"/>
                <w:b/>
                <w:szCs w:val="24"/>
              </w:rPr>
              <w:t>828</w:t>
            </w:r>
          </w:p>
        </w:tc>
        <w:tc>
          <w:tcPr>
            <w:tcW w:w="0" w:type="auto"/>
          </w:tcPr>
          <w:p w14:paraId="3ACF617D" w14:textId="3428E921" w:rsidR="00B52820" w:rsidRPr="00B52820" w:rsidRDefault="00B52820" w:rsidP="00B52820">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B52820">
              <w:rPr>
                <w:rFonts w:asciiTheme="majorHAnsi" w:hAnsiTheme="majorHAnsi" w:cstheme="majorHAnsi"/>
                <w:b/>
                <w:szCs w:val="24"/>
              </w:rPr>
              <w:t>552</w:t>
            </w:r>
          </w:p>
        </w:tc>
        <w:tc>
          <w:tcPr>
            <w:tcW w:w="0" w:type="auto"/>
          </w:tcPr>
          <w:p w14:paraId="387EA93E" w14:textId="21752F31" w:rsidR="00B52820" w:rsidRPr="00B52820" w:rsidRDefault="00B52820" w:rsidP="00B52820">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B52820">
              <w:rPr>
                <w:rFonts w:asciiTheme="majorHAnsi" w:hAnsiTheme="majorHAnsi" w:cstheme="majorHAnsi"/>
                <w:b/>
                <w:szCs w:val="24"/>
              </w:rPr>
              <w:t>364</w:t>
            </w:r>
          </w:p>
        </w:tc>
        <w:tc>
          <w:tcPr>
            <w:tcW w:w="0" w:type="auto"/>
          </w:tcPr>
          <w:p w14:paraId="218944D7" w14:textId="6C96F716" w:rsidR="00B52820" w:rsidRPr="00B52820" w:rsidRDefault="00B52820" w:rsidP="00B52820">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B52820">
              <w:rPr>
                <w:rFonts w:asciiTheme="majorHAnsi" w:hAnsiTheme="majorHAnsi" w:cstheme="majorHAnsi"/>
                <w:b/>
                <w:szCs w:val="24"/>
              </w:rPr>
              <w:t>44,0 %</w:t>
            </w:r>
          </w:p>
        </w:tc>
        <w:tc>
          <w:tcPr>
            <w:tcW w:w="0" w:type="auto"/>
          </w:tcPr>
          <w:p w14:paraId="40DBC177" w14:textId="65042906" w:rsidR="00B52820" w:rsidRPr="00B52820" w:rsidRDefault="00B52820" w:rsidP="00B52820">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B52820">
              <w:rPr>
                <w:rFonts w:asciiTheme="majorHAnsi" w:hAnsiTheme="majorHAnsi" w:cstheme="majorHAnsi"/>
                <w:b/>
                <w:szCs w:val="24"/>
              </w:rPr>
              <w:t>65,9 %</w:t>
            </w:r>
          </w:p>
        </w:tc>
      </w:tr>
      <w:tr w:rsidR="00B52820" w:rsidRPr="00AA6286" w14:paraId="23BD6EBB" w14:textId="77777777" w:rsidTr="00B5282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E12DB84" w14:textId="354DCD15" w:rsidR="00B52820" w:rsidRPr="00AA6286" w:rsidRDefault="00B52820" w:rsidP="00B52820">
            <w:pPr>
              <w:spacing w:before="0" w:after="0"/>
              <w:ind w:firstLine="0"/>
              <w:jc w:val="center"/>
              <w:rPr>
                <w:rFonts w:asciiTheme="majorHAnsi" w:eastAsia="Calibri" w:hAnsiTheme="majorHAnsi" w:cstheme="majorHAnsi"/>
                <w:szCs w:val="24"/>
              </w:rPr>
            </w:pPr>
            <w:r w:rsidRPr="00AA6286">
              <w:rPr>
                <w:rFonts w:asciiTheme="majorHAnsi" w:eastAsia="Calibri" w:hAnsiTheme="majorHAnsi" w:cstheme="majorHAnsi"/>
                <w:szCs w:val="24"/>
              </w:rPr>
              <w:t>Détection par caractères</w:t>
            </w:r>
          </w:p>
        </w:tc>
        <w:tc>
          <w:tcPr>
            <w:tcW w:w="0" w:type="auto"/>
          </w:tcPr>
          <w:p w14:paraId="247C1A51" w14:textId="7A34C52F"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828</w:t>
            </w:r>
          </w:p>
        </w:tc>
        <w:tc>
          <w:tcPr>
            <w:tcW w:w="0" w:type="auto"/>
          </w:tcPr>
          <w:p w14:paraId="480A5437" w14:textId="55E67BAE"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674</w:t>
            </w:r>
          </w:p>
        </w:tc>
        <w:tc>
          <w:tcPr>
            <w:tcW w:w="0" w:type="auto"/>
          </w:tcPr>
          <w:p w14:paraId="18E78019" w14:textId="34044B81"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415</w:t>
            </w:r>
          </w:p>
        </w:tc>
        <w:tc>
          <w:tcPr>
            <w:tcW w:w="0" w:type="auto"/>
          </w:tcPr>
          <w:p w14:paraId="08C70CF6" w14:textId="4DB04373"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50,1</w:t>
            </w:r>
            <w:r w:rsidRPr="00AA6286">
              <w:rPr>
                <w:rFonts w:asciiTheme="majorHAnsi" w:hAnsiTheme="majorHAnsi" w:cstheme="majorHAnsi"/>
                <w:szCs w:val="24"/>
              </w:rPr>
              <w:t xml:space="preserve"> %</w:t>
            </w:r>
          </w:p>
        </w:tc>
        <w:tc>
          <w:tcPr>
            <w:tcW w:w="0" w:type="auto"/>
          </w:tcPr>
          <w:p w14:paraId="4F4DA410" w14:textId="6C13BC70" w:rsidR="00B52820" w:rsidRPr="00AA6286" w:rsidRDefault="00B52820" w:rsidP="00B52820">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61,6 %</w:t>
            </w:r>
          </w:p>
        </w:tc>
      </w:tr>
    </w:tbl>
    <w:p w14:paraId="390FC2F9" w14:textId="72BD4735" w:rsidR="005D20EF" w:rsidRPr="005D20EF" w:rsidRDefault="00AA6286" w:rsidP="005D20EF">
      <w:pPr>
        <w:pStyle w:val="Sourcenote"/>
        <w:rPr>
          <w:rFonts w:eastAsia="Calibri"/>
        </w:rPr>
      </w:pPr>
      <w:r>
        <w:rPr>
          <w:rFonts w:eastAsia="Calibri"/>
        </w:rPr>
        <w:t>Source : analyses Cour des comptes comparée avec le jeu de référence de l’ANR</w:t>
      </w:r>
      <w:r w:rsidR="00B52820">
        <w:rPr>
          <w:rFonts w:eastAsia="Calibri"/>
        </w:rPr>
        <w:t xml:space="preserve"> ainsi que les données ouvertes de l’ANR.</w:t>
      </w:r>
    </w:p>
    <w:p w14:paraId="1B078E49" w14:textId="00A63CDC" w:rsidR="005D20EF" w:rsidRDefault="005D20EF" w:rsidP="005D20EF">
      <w:r>
        <w:t xml:space="preserve">Toutefois, la comparaison fine de la méthode dérivée de Nalau et Verall avec les sous-ensembles </w:t>
      </w:r>
      <w:r w:rsidR="00326364">
        <w:t xml:space="preserve">classés « à la main » </w:t>
      </w:r>
      <w:r>
        <w:t>du jeu de référence de l’ANR indique que cette méthode va capter également des projets relatifs à la connaissance du climat ainsi qu’à ses impacts, et pas exclusivement des projets en adaptation</w:t>
      </w:r>
      <w:r w:rsidR="004238E6">
        <w:t xml:space="preserve"> (voir tableau ci-dessous)</w:t>
      </w:r>
      <w:r>
        <w:t xml:space="preserve">. La réponse de l’INRAE </w:t>
      </w:r>
      <w:r w:rsidR="00326364">
        <w:t xml:space="preserve">à la Cour </w:t>
      </w:r>
      <w:r>
        <w:t>confirme cette analyse</w:t>
      </w:r>
      <w:r w:rsidR="006D7507">
        <w:t xml:space="preserve"> sur la base de données indépendantes</w:t>
      </w:r>
      <w:r w:rsidR="006D7507">
        <w:rPr>
          <w:rStyle w:val="Appelnotedebasdep"/>
        </w:rPr>
        <w:footnoteReference w:id="18"/>
      </w:r>
      <w:r>
        <w:t xml:space="preserve">. Pour cette raison, le filtre </w:t>
      </w:r>
      <w:r>
        <w:lastRenderedPageBreak/>
        <w:t>dérivé de Nalau et Verall n’est employé</w:t>
      </w:r>
      <w:r w:rsidR="00326364">
        <w:t xml:space="preserve"> </w:t>
      </w:r>
      <w:r w:rsidR="006D7507">
        <w:t xml:space="preserve">pour capter la recherche en adaptation sur des bases homogènes et comparables </w:t>
      </w:r>
      <w:r>
        <w:t>qu’en l’absence d’alternative identifiée</w:t>
      </w:r>
      <w:r w:rsidR="006D7507">
        <w:t>.</w:t>
      </w:r>
      <w:r w:rsidR="004916AC">
        <w:t xml:space="preserve"> </w:t>
      </w:r>
    </w:p>
    <w:p w14:paraId="57376B31" w14:textId="0490ED10" w:rsidR="004238E6" w:rsidRDefault="004238E6" w:rsidP="005D20EF">
      <w:pPr>
        <w:pStyle w:val="Titretableau"/>
      </w:pPr>
      <w:r>
        <w:t> Estimation de l’erreur commise en regard du jeu de données de l’ANR pour le sous-ensemble de projets catégorisés « à la main » par des experts comme étant dans le domaine de l’adaptation à proprement parler).</w:t>
      </w:r>
    </w:p>
    <w:tbl>
      <w:tblPr>
        <w:tblStyle w:val="Grilledutableau"/>
        <w:tblW w:w="9074" w:type="dxa"/>
        <w:jc w:val="center"/>
        <w:tblInd w:w="0" w:type="dxa"/>
        <w:tblLook w:val="04A0" w:firstRow="1" w:lastRow="0" w:firstColumn="1" w:lastColumn="0" w:noHBand="0" w:noVBand="1"/>
      </w:tblPr>
      <w:tblGrid>
        <w:gridCol w:w="1723"/>
        <w:gridCol w:w="2278"/>
        <w:gridCol w:w="1349"/>
        <w:gridCol w:w="1286"/>
        <w:gridCol w:w="1109"/>
        <w:gridCol w:w="1329"/>
      </w:tblGrid>
      <w:tr w:rsidR="00DA16EF" w:rsidRPr="00AA6286" w14:paraId="230EB1AA" w14:textId="77777777" w:rsidTr="00DA16E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1C120489" w14:textId="77777777" w:rsidR="00DA16EF" w:rsidRPr="00AA6286" w:rsidRDefault="00DA16EF" w:rsidP="00DA16EF">
            <w:pPr>
              <w:spacing w:before="0" w:after="0"/>
              <w:ind w:firstLine="0"/>
              <w:jc w:val="center"/>
              <w:rPr>
                <w:rFonts w:asciiTheme="majorHAnsi" w:hAnsiTheme="majorHAnsi" w:cstheme="majorHAnsi"/>
                <w:szCs w:val="24"/>
              </w:rPr>
            </w:pPr>
            <w:r w:rsidRPr="00AA6286">
              <w:rPr>
                <w:rFonts w:asciiTheme="majorHAnsi" w:eastAsia="Calibri" w:hAnsiTheme="majorHAnsi" w:cstheme="majorHAnsi"/>
                <w:szCs w:val="24"/>
              </w:rPr>
              <w:t>Modalité d’analyse sémantique (sans les critères d’exclusion)</w:t>
            </w:r>
          </w:p>
        </w:tc>
        <w:tc>
          <w:tcPr>
            <w:tcW w:w="0" w:type="auto"/>
          </w:tcPr>
          <w:p w14:paraId="7A44BD8E" w14:textId="2325C9AB" w:rsidR="00DA16EF" w:rsidRPr="00AA6286" w:rsidRDefault="00DA16EF" w:rsidP="00DA16EF">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Total indiqué par l’ANR comme étant dans le périmètre du PNACC</w:t>
            </w:r>
            <w:r>
              <w:rPr>
                <w:rFonts w:asciiTheme="majorHAnsi" w:hAnsiTheme="majorHAnsi" w:cstheme="majorHAnsi"/>
                <w:szCs w:val="24"/>
              </w:rPr>
              <w:t xml:space="preserve"> </w:t>
            </w:r>
            <w:r w:rsidRPr="00DA16EF">
              <w:rPr>
                <w:rFonts w:asciiTheme="majorHAnsi" w:hAnsiTheme="majorHAnsi" w:cstheme="majorHAnsi"/>
                <w:szCs w:val="24"/>
                <w:u w:val="single"/>
              </w:rPr>
              <w:t>pour l’adaptation spécifiquement</w:t>
            </w:r>
          </w:p>
        </w:tc>
        <w:tc>
          <w:tcPr>
            <w:tcW w:w="0" w:type="auto"/>
          </w:tcPr>
          <w:p w14:paraId="3A28DCDC" w14:textId="77777777" w:rsidR="00DA16EF" w:rsidRPr="00AA6286" w:rsidRDefault="00DA16EF" w:rsidP="00DA16EF">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Total détecté par la Cour avec la méthode indiquée</w:t>
            </w:r>
          </w:p>
        </w:tc>
        <w:tc>
          <w:tcPr>
            <w:tcW w:w="0" w:type="auto"/>
          </w:tcPr>
          <w:p w14:paraId="4CADA988" w14:textId="59ADA0AF" w:rsidR="00DA16EF" w:rsidRPr="00AA6286" w:rsidRDefault="00DA16EF" w:rsidP="00DA16EF">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 xml:space="preserve">Total détecté par la Cour </w:t>
            </w:r>
            <w:r>
              <w:rPr>
                <w:rFonts w:asciiTheme="majorHAnsi" w:hAnsiTheme="majorHAnsi" w:cstheme="majorHAnsi"/>
                <w:szCs w:val="24"/>
              </w:rPr>
              <w:t xml:space="preserve">présent dans le </w:t>
            </w:r>
            <w:r w:rsidR="00344E95">
              <w:rPr>
                <w:rFonts w:asciiTheme="majorHAnsi" w:hAnsiTheme="majorHAnsi" w:cstheme="majorHAnsi"/>
                <w:szCs w:val="24"/>
              </w:rPr>
              <w:t>sous-</w:t>
            </w:r>
            <w:r>
              <w:rPr>
                <w:rFonts w:asciiTheme="majorHAnsi" w:hAnsiTheme="majorHAnsi" w:cstheme="majorHAnsi"/>
                <w:szCs w:val="24"/>
              </w:rPr>
              <w:t>jeu de l’ANR</w:t>
            </w:r>
          </w:p>
        </w:tc>
        <w:tc>
          <w:tcPr>
            <w:tcW w:w="0" w:type="auto"/>
          </w:tcPr>
          <w:p w14:paraId="3D4D966E" w14:textId="5F850188" w:rsidR="00DA16EF" w:rsidRPr="00AA6286" w:rsidRDefault="00DA16EF" w:rsidP="00DA16EF">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 xml:space="preserve">Part </w:t>
            </w:r>
            <w:r>
              <w:rPr>
                <w:rFonts w:asciiTheme="majorHAnsi" w:hAnsiTheme="majorHAnsi" w:cstheme="majorHAnsi"/>
                <w:szCs w:val="24"/>
              </w:rPr>
              <w:t xml:space="preserve">du </w:t>
            </w:r>
            <w:r w:rsidR="00344E95">
              <w:rPr>
                <w:rFonts w:asciiTheme="majorHAnsi" w:hAnsiTheme="majorHAnsi" w:cstheme="majorHAnsi"/>
                <w:szCs w:val="24"/>
              </w:rPr>
              <w:t>sous-</w:t>
            </w:r>
            <w:r>
              <w:rPr>
                <w:rFonts w:asciiTheme="majorHAnsi" w:hAnsiTheme="majorHAnsi" w:cstheme="majorHAnsi"/>
                <w:szCs w:val="24"/>
              </w:rPr>
              <w:t>jeu de l’ANR capté par la Cour</w:t>
            </w:r>
          </w:p>
        </w:tc>
        <w:tc>
          <w:tcPr>
            <w:tcW w:w="0" w:type="auto"/>
          </w:tcPr>
          <w:p w14:paraId="6490D380" w14:textId="77777777" w:rsidR="00DA16EF" w:rsidRPr="00AA6286" w:rsidRDefault="00DA16EF" w:rsidP="00DA16EF">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4"/>
              </w:rPr>
            </w:pPr>
            <w:r w:rsidRPr="00AA6286">
              <w:rPr>
                <w:rFonts w:asciiTheme="majorHAnsi" w:hAnsiTheme="majorHAnsi" w:cstheme="majorHAnsi"/>
                <w:szCs w:val="24"/>
              </w:rPr>
              <w:t>Part de « vrais positifs »</w:t>
            </w:r>
            <w:r>
              <w:rPr>
                <w:rFonts w:asciiTheme="majorHAnsi" w:hAnsiTheme="majorHAnsi" w:cstheme="majorHAnsi"/>
                <w:szCs w:val="24"/>
              </w:rPr>
              <w:t xml:space="preserve"> parmi les détectés</w:t>
            </w:r>
          </w:p>
        </w:tc>
      </w:tr>
      <w:tr w:rsidR="00DA16EF" w:rsidRPr="00AA6286" w14:paraId="50332CF0" w14:textId="77777777" w:rsidTr="00DA16E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5C28A46" w14:textId="77777777" w:rsidR="00DA16EF" w:rsidRPr="00AA6286" w:rsidRDefault="00DA16EF" w:rsidP="00DA16EF">
            <w:pPr>
              <w:spacing w:before="0" w:after="0"/>
              <w:ind w:firstLine="0"/>
              <w:jc w:val="center"/>
              <w:rPr>
                <w:rFonts w:asciiTheme="majorHAnsi" w:hAnsiTheme="majorHAnsi" w:cstheme="majorHAnsi"/>
                <w:szCs w:val="24"/>
              </w:rPr>
            </w:pPr>
            <w:r w:rsidRPr="00AA6286">
              <w:rPr>
                <w:rFonts w:asciiTheme="majorHAnsi" w:eastAsia="Calibri" w:hAnsiTheme="majorHAnsi" w:cstheme="majorHAnsi"/>
                <w:szCs w:val="24"/>
              </w:rPr>
              <w:t>Détection par phrase</w:t>
            </w:r>
          </w:p>
        </w:tc>
        <w:tc>
          <w:tcPr>
            <w:tcW w:w="0" w:type="auto"/>
          </w:tcPr>
          <w:p w14:paraId="133F45CC" w14:textId="5FBBB6B0" w:rsidR="00DA16EF" w:rsidRPr="00AA6286" w:rsidRDefault="00DA16EF"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DA16EF">
              <w:rPr>
                <w:rFonts w:asciiTheme="majorHAnsi" w:hAnsiTheme="majorHAnsi" w:cstheme="majorHAnsi"/>
                <w:szCs w:val="24"/>
              </w:rPr>
              <w:t>295</w:t>
            </w:r>
          </w:p>
        </w:tc>
        <w:tc>
          <w:tcPr>
            <w:tcW w:w="0" w:type="auto"/>
          </w:tcPr>
          <w:p w14:paraId="7D655695" w14:textId="009FA7E2" w:rsidR="00DA16EF" w:rsidRPr="00AA6286" w:rsidRDefault="00DA16EF"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DA16EF">
              <w:rPr>
                <w:rFonts w:asciiTheme="majorHAnsi" w:hAnsiTheme="majorHAnsi" w:cstheme="majorHAnsi"/>
                <w:szCs w:val="24"/>
              </w:rPr>
              <w:t>79</w:t>
            </w:r>
          </w:p>
        </w:tc>
        <w:tc>
          <w:tcPr>
            <w:tcW w:w="0" w:type="auto"/>
          </w:tcPr>
          <w:p w14:paraId="33B78A2A" w14:textId="081F7CCB" w:rsidR="00DA16EF" w:rsidRPr="00AA6286" w:rsidRDefault="00DA16EF"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DA16EF">
              <w:rPr>
                <w:rFonts w:asciiTheme="majorHAnsi" w:hAnsiTheme="majorHAnsi" w:cstheme="majorHAnsi"/>
                <w:szCs w:val="24"/>
              </w:rPr>
              <w:t>44</w:t>
            </w:r>
          </w:p>
        </w:tc>
        <w:tc>
          <w:tcPr>
            <w:tcW w:w="0" w:type="auto"/>
          </w:tcPr>
          <w:p w14:paraId="233C46CD" w14:textId="69F0AD20" w:rsidR="00DA16EF" w:rsidRPr="00AA6286" w:rsidRDefault="00DA16EF"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14,9 %</w:t>
            </w:r>
          </w:p>
        </w:tc>
        <w:tc>
          <w:tcPr>
            <w:tcW w:w="0" w:type="auto"/>
          </w:tcPr>
          <w:p w14:paraId="5A74DC45" w14:textId="01882984" w:rsidR="00DA16EF" w:rsidRPr="00AA6286" w:rsidRDefault="00DA16EF"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55,7 %</w:t>
            </w:r>
          </w:p>
        </w:tc>
      </w:tr>
      <w:tr w:rsidR="00DA16EF" w:rsidRPr="00B52820" w14:paraId="0F27B1FC" w14:textId="77777777" w:rsidTr="00DA16EF">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64FE647" w14:textId="77777777" w:rsidR="00DA16EF" w:rsidRPr="00B52820" w:rsidRDefault="00DA16EF" w:rsidP="00DA16EF">
            <w:pPr>
              <w:spacing w:before="0" w:after="0"/>
              <w:ind w:firstLine="0"/>
              <w:jc w:val="center"/>
              <w:rPr>
                <w:rFonts w:asciiTheme="majorHAnsi" w:hAnsiTheme="majorHAnsi" w:cstheme="majorHAnsi"/>
                <w:b/>
                <w:szCs w:val="24"/>
              </w:rPr>
            </w:pPr>
            <w:r w:rsidRPr="00B52820">
              <w:rPr>
                <w:rFonts w:asciiTheme="majorHAnsi" w:eastAsia="Calibri" w:hAnsiTheme="majorHAnsi" w:cstheme="majorHAnsi"/>
                <w:b/>
                <w:szCs w:val="24"/>
              </w:rPr>
              <w:t>Détection par racines de mots</w:t>
            </w:r>
          </w:p>
        </w:tc>
        <w:tc>
          <w:tcPr>
            <w:tcW w:w="0" w:type="auto"/>
          </w:tcPr>
          <w:p w14:paraId="52420BA2" w14:textId="043EE832" w:rsidR="00DA16EF" w:rsidRPr="00B52820" w:rsidRDefault="00DA16EF" w:rsidP="00DA16EF">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DA16EF">
              <w:rPr>
                <w:rFonts w:asciiTheme="majorHAnsi" w:hAnsiTheme="majorHAnsi" w:cstheme="majorHAnsi"/>
                <w:b/>
                <w:szCs w:val="24"/>
              </w:rPr>
              <w:t>295</w:t>
            </w:r>
          </w:p>
        </w:tc>
        <w:tc>
          <w:tcPr>
            <w:tcW w:w="0" w:type="auto"/>
          </w:tcPr>
          <w:p w14:paraId="4AC51786" w14:textId="55B4C42D" w:rsidR="00DA16EF" w:rsidRPr="00B52820" w:rsidRDefault="004238E6" w:rsidP="00DA16EF">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4238E6">
              <w:rPr>
                <w:rFonts w:asciiTheme="majorHAnsi" w:hAnsiTheme="majorHAnsi" w:cstheme="majorHAnsi"/>
                <w:b/>
                <w:szCs w:val="24"/>
              </w:rPr>
              <w:t>552</w:t>
            </w:r>
          </w:p>
        </w:tc>
        <w:tc>
          <w:tcPr>
            <w:tcW w:w="0" w:type="auto"/>
          </w:tcPr>
          <w:p w14:paraId="06244913" w14:textId="2414C3EC" w:rsidR="00DA16EF" w:rsidRPr="00B52820" w:rsidRDefault="004238E6" w:rsidP="00DA16EF">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4238E6">
              <w:rPr>
                <w:rFonts w:asciiTheme="majorHAnsi" w:hAnsiTheme="majorHAnsi" w:cstheme="majorHAnsi"/>
                <w:b/>
                <w:szCs w:val="24"/>
              </w:rPr>
              <w:t>198</w:t>
            </w:r>
          </w:p>
        </w:tc>
        <w:tc>
          <w:tcPr>
            <w:tcW w:w="0" w:type="auto"/>
          </w:tcPr>
          <w:p w14:paraId="391405C4" w14:textId="61CB2F2F" w:rsidR="00DA16EF" w:rsidRPr="00B52820" w:rsidRDefault="004238E6" w:rsidP="00DA16EF">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Pr>
                <w:rFonts w:asciiTheme="majorHAnsi" w:hAnsiTheme="majorHAnsi" w:cstheme="majorHAnsi"/>
                <w:b/>
                <w:szCs w:val="24"/>
              </w:rPr>
              <w:t>67,1 %</w:t>
            </w:r>
          </w:p>
        </w:tc>
        <w:tc>
          <w:tcPr>
            <w:tcW w:w="0" w:type="auto"/>
          </w:tcPr>
          <w:p w14:paraId="502DFBF4" w14:textId="4A2A7A78" w:rsidR="00DA16EF" w:rsidRPr="00B52820" w:rsidRDefault="004238E6" w:rsidP="00DA16EF">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Cs w:val="24"/>
              </w:rPr>
            </w:pPr>
            <w:r w:rsidRPr="004238E6">
              <w:rPr>
                <w:rFonts w:asciiTheme="majorHAnsi" w:hAnsiTheme="majorHAnsi" w:cstheme="majorHAnsi"/>
                <w:b/>
                <w:szCs w:val="24"/>
              </w:rPr>
              <w:t>35</w:t>
            </w:r>
            <w:r>
              <w:rPr>
                <w:rFonts w:asciiTheme="majorHAnsi" w:hAnsiTheme="majorHAnsi" w:cstheme="majorHAnsi"/>
                <w:b/>
                <w:szCs w:val="24"/>
              </w:rPr>
              <w:t>, 9 %</w:t>
            </w:r>
          </w:p>
        </w:tc>
      </w:tr>
      <w:tr w:rsidR="00DA16EF" w:rsidRPr="00AA6286" w14:paraId="1AAE8A61" w14:textId="77777777" w:rsidTr="00DA16E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0E3CB12" w14:textId="77777777" w:rsidR="00DA16EF" w:rsidRPr="00AA6286" w:rsidRDefault="00DA16EF" w:rsidP="00DA16EF">
            <w:pPr>
              <w:spacing w:before="0" w:after="0"/>
              <w:ind w:firstLine="0"/>
              <w:jc w:val="center"/>
              <w:rPr>
                <w:rFonts w:asciiTheme="majorHAnsi" w:eastAsia="Calibri" w:hAnsiTheme="majorHAnsi" w:cstheme="majorHAnsi"/>
                <w:szCs w:val="24"/>
              </w:rPr>
            </w:pPr>
            <w:r w:rsidRPr="00AA6286">
              <w:rPr>
                <w:rFonts w:asciiTheme="majorHAnsi" w:eastAsia="Calibri" w:hAnsiTheme="majorHAnsi" w:cstheme="majorHAnsi"/>
                <w:szCs w:val="24"/>
              </w:rPr>
              <w:t>Détection par caractères</w:t>
            </w:r>
          </w:p>
        </w:tc>
        <w:tc>
          <w:tcPr>
            <w:tcW w:w="0" w:type="auto"/>
          </w:tcPr>
          <w:p w14:paraId="3DF21FB2" w14:textId="71AE6538" w:rsidR="00DA16EF" w:rsidRPr="00AA6286" w:rsidRDefault="00DA16EF"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DA16EF">
              <w:rPr>
                <w:rFonts w:asciiTheme="majorHAnsi" w:hAnsiTheme="majorHAnsi" w:cstheme="majorHAnsi"/>
                <w:szCs w:val="24"/>
              </w:rPr>
              <w:t>295</w:t>
            </w:r>
          </w:p>
        </w:tc>
        <w:tc>
          <w:tcPr>
            <w:tcW w:w="0" w:type="auto"/>
          </w:tcPr>
          <w:p w14:paraId="0CB6C550" w14:textId="078F7D55" w:rsidR="00DA16EF" w:rsidRPr="00AA6286" w:rsidRDefault="004238E6"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674</w:t>
            </w:r>
          </w:p>
        </w:tc>
        <w:tc>
          <w:tcPr>
            <w:tcW w:w="0" w:type="auto"/>
          </w:tcPr>
          <w:p w14:paraId="5ABC3E3D" w14:textId="189E6C4C" w:rsidR="00DA16EF" w:rsidRPr="00AA6286" w:rsidRDefault="004238E6"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sidRPr="004238E6">
              <w:rPr>
                <w:rFonts w:asciiTheme="majorHAnsi" w:hAnsiTheme="majorHAnsi" w:cstheme="majorHAnsi"/>
                <w:szCs w:val="24"/>
              </w:rPr>
              <w:t>209</w:t>
            </w:r>
          </w:p>
        </w:tc>
        <w:tc>
          <w:tcPr>
            <w:tcW w:w="0" w:type="auto"/>
          </w:tcPr>
          <w:p w14:paraId="02ACA280" w14:textId="604B43B7" w:rsidR="00DA16EF" w:rsidRPr="00AA6286" w:rsidRDefault="004238E6"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70,8 %</w:t>
            </w:r>
          </w:p>
        </w:tc>
        <w:tc>
          <w:tcPr>
            <w:tcW w:w="0" w:type="auto"/>
          </w:tcPr>
          <w:p w14:paraId="33E2B10A" w14:textId="07710B99" w:rsidR="00DA16EF" w:rsidRPr="00AA6286" w:rsidRDefault="004238E6" w:rsidP="00DA16EF">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4"/>
              </w:rPr>
            </w:pPr>
            <w:r>
              <w:rPr>
                <w:rFonts w:asciiTheme="majorHAnsi" w:hAnsiTheme="majorHAnsi" w:cstheme="majorHAnsi"/>
                <w:szCs w:val="24"/>
              </w:rPr>
              <w:t>31,0 %</w:t>
            </w:r>
          </w:p>
        </w:tc>
      </w:tr>
    </w:tbl>
    <w:p w14:paraId="0DA48FF2" w14:textId="29218666" w:rsidR="00DA16EF" w:rsidRPr="004238E6" w:rsidRDefault="004238E6" w:rsidP="004238E6">
      <w:pPr>
        <w:pStyle w:val="Sourcenote"/>
        <w:rPr>
          <w:rFonts w:eastAsia="Calibri"/>
        </w:rPr>
      </w:pPr>
      <w:r>
        <w:rPr>
          <w:rFonts w:eastAsia="Calibri"/>
        </w:rPr>
        <w:t>Source : analyses Cour des comptes comparée avec le jeu de référence de l’ANR ainsi que les données ouvertes de l’ANR.</w:t>
      </w:r>
    </w:p>
    <w:p w14:paraId="6D519F89" w14:textId="3A4FFD42" w:rsidR="005D20EF" w:rsidRPr="005D20EF" w:rsidRDefault="004916AC" w:rsidP="005D20EF">
      <w:r>
        <w:t>S’agissant de l’analyse des données de l’ANR, le jeu de référence de l’agence pour le PNACC a été utilisé de façon préférentielle dans le rapport principal. La cohérence globale de ce jeu de données a pu être vérifiée quantitativement par la Cour tant par la méthode dérivée de Nalau et Verall (voir ci-dessous) qu’avec une méthode plus couvrante qui intègre également les mots clés dérivés des travaux du GIEC (voir le point II ci-dessous).</w:t>
      </w:r>
    </w:p>
    <w:p w14:paraId="6F8CFCBC" w14:textId="50E6841A" w:rsidR="000E47F4" w:rsidRDefault="000E47F4" w:rsidP="000E47F4">
      <w:pPr>
        <w:rPr>
          <w:u w:val="single"/>
        </w:rPr>
      </w:pPr>
      <w:r w:rsidRPr="00C93A02">
        <w:rPr>
          <w:u w:val="single"/>
        </w:rPr>
        <w:t>I.</w:t>
      </w:r>
      <w:r w:rsidR="00195C26">
        <w:rPr>
          <w:u w:val="single"/>
        </w:rPr>
        <w:t>B.3</w:t>
      </w:r>
      <w:r w:rsidRPr="00C93A02">
        <w:rPr>
          <w:u w:val="single"/>
        </w:rPr>
        <w:t xml:space="preserve">. </w:t>
      </w:r>
      <w:r>
        <w:rPr>
          <w:u w:val="single"/>
        </w:rPr>
        <w:t>Estimation de l’erreur commise sur la base du jeu de données de référence du CIRAD</w:t>
      </w:r>
    </w:p>
    <w:p w14:paraId="53FFE1DF" w14:textId="76D1B5BB" w:rsidR="000022AC" w:rsidRDefault="000022AC" w:rsidP="00B73F9C">
      <w:r>
        <w:t>Le CIRED a constitué un jeu de publications de référence obtenu par une analyse sémantique multilingue portant sur l’ensemble du périmètre scientifique du groupe 2 du GIEC</w:t>
      </w:r>
      <w:r w:rsidR="0095106E">
        <w:t>, y compris avec les risques et les vulnérabilités,</w:t>
      </w:r>
      <w:r>
        <w:t xml:space="preserve"> et appliquées aux données de l’archive ouverte des publications de l’organisme accessibles va l’outil « </w:t>
      </w:r>
      <w:r w:rsidRPr="000022AC">
        <w:t>Agritrop</w:t>
      </w:r>
      <w:r>
        <w:t> »</w:t>
      </w:r>
      <w:r w:rsidRPr="000022AC">
        <w:rPr>
          <w:rStyle w:val="Appelnotedebasdep"/>
          <w:vertAlign w:val="baseline"/>
        </w:rPr>
        <w:t xml:space="preserve"> </w:t>
      </w:r>
      <w:r>
        <w:rPr>
          <w:rStyle w:val="Appelnotedebasdep"/>
        </w:rPr>
        <w:footnoteReference w:id="19"/>
      </w:r>
      <w:r>
        <w:t xml:space="preserve">. </w:t>
      </w:r>
    </w:p>
    <w:p w14:paraId="5F495ACD" w14:textId="07069913" w:rsidR="0095106E" w:rsidRDefault="0095106E" w:rsidP="00B73F9C">
      <w:r>
        <w:t>S</w:t>
      </w:r>
      <w:r w:rsidRPr="0095106E">
        <w:t xml:space="preserve">ur les 753 publications </w:t>
      </w:r>
      <w:r>
        <w:t>retracées dans l’archive ouverte au moment de l’analyse de la Cour</w:t>
      </w:r>
      <w:r w:rsidRPr="0095106E">
        <w:t xml:space="preserve">, </w:t>
      </w:r>
      <w:r>
        <w:t>il a été possible d’en détecter</w:t>
      </w:r>
      <w:r w:rsidRPr="0095106E">
        <w:t xml:space="preserve"> 480, soit 64 % du total, </w:t>
      </w:r>
      <w:r>
        <w:t>avec l’approche dérivée de Nalau et Verall consistant à détecter les racines de mots clés</w:t>
      </w:r>
      <w:r w:rsidR="004D295C">
        <w:t xml:space="preserve"> (</w:t>
      </w:r>
      <w:r>
        <w:t xml:space="preserve">sans </w:t>
      </w:r>
      <w:r w:rsidR="004D295C">
        <w:t xml:space="preserve">les </w:t>
      </w:r>
      <w:r>
        <w:t>critères d’exclusion</w:t>
      </w:r>
      <w:r w:rsidR="004D295C">
        <w:t>). Les chiffres sont de 16 % et 65 % du total avec les méthodes par phrases et par caractères respectivement. Ces éléments confirment le caractère optimal de la recherche par racines de mots clés.</w:t>
      </w:r>
    </w:p>
    <w:p w14:paraId="1F41FCB6" w14:textId="6A1ED900" w:rsidR="000022AC" w:rsidRDefault="004D295C" w:rsidP="00B73F9C">
      <w:r>
        <w:lastRenderedPageBreak/>
        <w:t xml:space="preserve">Quant aux </w:t>
      </w:r>
      <w:r w:rsidR="0095106E">
        <w:t xml:space="preserve">écarts observés </w:t>
      </w:r>
      <w:r>
        <w:t xml:space="preserve">avec le jeu du CIRAD, ils </w:t>
      </w:r>
      <w:r w:rsidR="0095106E">
        <w:t>peuvent s’expliquer par le fait que les termes relatifs aux risques</w:t>
      </w:r>
      <w:r w:rsidR="0095106E" w:rsidRPr="0095106E">
        <w:t xml:space="preserve"> et vulnérabilités ne sont pas explicitement pris en compte avec l</w:t>
      </w:r>
      <w:r w:rsidR="0095106E">
        <w:t xml:space="preserve">’approche sémantique dérivée de Nalau et Verall. </w:t>
      </w:r>
    </w:p>
    <w:p w14:paraId="735E00CE" w14:textId="77777777" w:rsidR="007E2E35" w:rsidRDefault="007E2E35" w:rsidP="00145409"/>
    <w:p w14:paraId="26A6687A" w14:textId="20D144E0" w:rsidR="004B7280" w:rsidRDefault="00BD2F9D" w:rsidP="004B7280">
      <w:pPr>
        <w:rPr>
          <w:u w:val="single"/>
        </w:rPr>
      </w:pPr>
      <w:r>
        <w:rPr>
          <w:u w:val="single"/>
        </w:rPr>
        <w:t xml:space="preserve">II. </w:t>
      </w:r>
      <w:r w:rsidR="004B7280" w:rsidRPr="004B7280">
        <w:rPr>
          <w:u w:val="single"/>
        </w:rPr>
        <w:t xml:space="preserve">Approche sémantique </w:t>
      </w:r>
      <w:r w:rsidR="00F5227C">
        <w:rPr>
          <w:u w:val="single"/>
        </w:rPr>
        <w:t xml:space="preserve">dérivée des glossaires et </w:t>
      </w:r>
      <w:r w:rsidR="004356B9">
        <w:rPr>
          <w:u w:val="single"/>
        </w:rPr>
        <w:t xml:space="preserve">du corpus </w:t>
      </w:r>
      <w:r w:rsidR="00F5227C">
        <w:rPr>
          <w:u w:val="single"/>
        </w:rPr>
        <w:t>du GIEC</w:t>
      </w:r>
    </w:p>
    <w:p w14:paraId="7D1B0A65" w14:textId="1E08BBBF" w:rsidR="00D33E6D" w:rsidRDefault="00D33E6D" w:rsidP="004B7280">
      <w:pPr>
        <w:rPr>
          <w:u w:val="single"/>
        </w:rPr>
      </w:pPr>
      <w:r>
        <w:rPr>
          <w:u w:val="single"/>
        </w:rPr>
        <w:t>II.A. Présentation de la méthode</w:t>
      </w:r>
    </w:p>
    <w:p w14:paraId="7D190367" w14:textId="6CD3D75F" w:rsidR="007F4CE1" w:rsidRDefault="007F4CE1" w:rsidP="00567493">
      <w:pPr>
        <w:ind w:firstLine="0"/>
      </w:pPr>
      <w:r>
        <w:t>L</w:t>
      </w:r>
      <w:r w:rsidR="00123365">
        <w:t xml:space="preserve">es métadonnées contenues dans les fichiers bibliographiques </w:t>
      </w:r>
      <w:r>
        <w:t xml:space="preserve">du GIEC </w:t>
      </w:r>
      <w:r w:rsidR="00123365">
        <w:t>sont exploité</w:t>
      </w:r>
      <w:r>
        <w:t>es pour enrichir les mots clés employés et construire des « détecteurs » sémantiques calés sur les périmètres de chacun des trois groupes du GIEC.</w:t>
      </w:r>
      <w:r w:rsidR="00954890">
        <w:t xml:space="preserve"> Ces mots clés sont également employés pour des requêtes bibliométriques. </w:t>
      </w:r>
    </w:p>
    <w:p w14:paraId="1675A967" w14:textId="23283B58" w:rsidR="00D42D23" w:rsidRDefault="00412DF0" w:rsidP="00567493">
      <w:pPr>
        <w:ind w:firstLine="0"/>
      </w:pPr>
      <w:r>
        <w:t>Les mots clefs proposés sont issus des glossaires</w:t>
      </w:r>
      <w:r w:rsidR="007F4CE1">
        <w:t xml:space="preserve"> </w:t>
      </w:r>
      <w:r>
        <w:t>de</w:t>
      </w:r>
      <w:r w:rsidR="007F4CE1">
        <w:t>s</w:t>
      </w:r>
      <w:r>
        <w:t xml:space="preserve"> </w:t>
      </w:r>
      <w:r w:rsidR="007F4CE1">
        <w:t>rapports dont la</w:t>
      </w:r>
      <w:r>
        <w:t xml:space="preserve"> fréquence d’occurrence dans les titres </w:t>
      </w:r>
      <w:r w:rsidR="007F4CE1">
        <w:t xml:space="preserve">des publications citées par le GIEC. </w:t>
      </w:r>
      <w:r w:rsidR="000A6648">
        <w:t>En effet, t</w:t>
      </w:r>
      <w:r w:rsidR="00853FD5">
        <w:t>itres mis à part, et notamment dans le cas du</w:t>
      </w:r>
      <w:r w:rsidR="00123365">
        <w:t xml:space="preserve"> </w:t>
      </w:r>
      <w:r w:rsidR="007F4CE1">
        <w:t>rapport du troisième groupe</w:t>
      </w:r>
      <w:r w:rsidR="00853FD5">
        <w:t>, les métadonnées sont très incomplètes.</w:t>
      </w:r>
      <w:r>
        <w:t xml:space="preserve"> C</w:t>
      </w:r>
      <w:r w:rsidRPr="00412DF0">
        <w:t xml:space="preserve">ette inégalité de complétude interdit </w:t>
      </w:r>
      <w:r>
        <w:t xml:space="preserve">donc </w:t>
      </w:r>
      <w:r w:rsidRPr="00412DF0">
        <w:t>tout</w:t>
      </w:r>
      <w:r>
        <w:t>e</w:t>
      </w:r>
      <w:r w:rsidRPr="00412DF0">
        <w:t xml:space="preserve"> analyse de fréquence d'occurrence de mots clefs sur d'autres champs que les titres.</w:t>
      </w:r>
      <w:r w:rsidR="00853FD5">
        <w:t xml:space="preserve"> </w:t>
      </w:r>
      <w:r w:rsidR="007F4CE1">
        <w:t>Les titres ont par ailleurs l’avantage de regrouper les mots les plus importants d’une publication.</w:t>
      </w:r>
    </w:p>
    <w:p w14:paraId="63787EC9" w14:textId="15169DE4" w:rsidR="00D42D23" w:rsidRDefault="007F4CE1" w:rsidP="00D42D23">
      <w:pPr>
        <w:ind w:firstLine="0"/>
      </w:pPr>
      <w:r>
        <w:t>Trois cas sont distingués</w:t>
      </w:r>
      <w:r w:rsidR="00D42D23">
        <w:t xml:space="preserve"> dans la recherche des mots-clefs au sein des titres :</w:t>
      </w:r>
    </w:p>
    <w:p w14:paraId="701D3756" w14:textId="4EEF56C7" w:rsidR="00D42D23" w:rsidRDefault="00D42D23" w:rsidP="00A46C7B">
      <w:pPr>
        <w:pStyle w:val="Paragraphedeliste"/>
        <w:numPr>
          <w:ilvl w:val="0"/>
          <w:numId w:val="34"/>
        </w:numPr>
      </w:pPr>
      <w:r>
        <w:t>Le</w:t>
      </w:r>
      <w:r w:rsidR="007F4CE1">
        <w:t>s</w:t>
      </w:r>
      <w:r>
        <w:t xml:space="preserve"> mot</w:t>
      </w:r>
      <w:r w:rsidR="007F4CE1">
        <w:t xml:space="preserve">s </w:t>
      </w:r>
      <w:r>
        <w:t>unitaire</w:t>
      </w:r>
      <w:r w:rsidR="007F4CE1">
        <w:t>s</w:t>
      </w:r>
      <w:r>
        <w:t xml:space="preserve"> du type </w:t>
      </w:r>
      <w:r w:rsidR="007F4CE1">
        <w:rPr>
          <w:i/>
        </w:rPr>
        <w:t>Adaptation ;</w:t>
      </w:r>
    </w:p>
    <w:p w14:paraId="2BE0C20C" w14:textId="5658A80D" w:rsidR="00D42D23" w:rsidRDefault="00D42D23" w:rsidP="00A46C7B">
      <w:pPr>
        <w:pStyle w:val="Paragraphedeliste"/>
        <w:numPr>
          <w:ilvl w:val="0"/>
          <w:numId w:val="34"/>
        </w:numPr>
      </w:pPr>
      <w:r>
        <w:t>L</w:t>
      </w:r>
      <w:r w:rsidR="007F4CE1">
        <w:t>es</w:t>
      </w:r>
      <w:r>
        <w:t xml:space="preserve"> suite</w:t>
      </w:r>
      <w:r w:rsidR="007F4CE1">
        <w:t>s</w:t>
      </w:r>
      <w:r>
        <w:t xml:space="preserve"> de mots </w:t>
      </w:r>
      <w:r w:rsidR="007F4CE1">
        <w:t>tels que</w:t>
      </w:r>
      <w:r>
        <w:t xml:space="preserve"> </w:t>
      </w:r>
      <w:r w:rsidR="007F4CE1">
        <w:rPr>
          <w:i/>
        </w:rPr>
        <w:t>C</w:t>
      </w:r>
      <w:r w:rsidR="007F4CE1" w:rsidRPr="007F4CE1">
        <w:rPr>
          <w:i/>
        </w:rPr>
        <w:t>limate model</w:t>
      </w:r>
      <w:r w:rsidR="007F4CE1">
        <w:rPr>
          <w:i/>
        </w:rPr>
        <w:t xml:space="preserve"> </w:t>
      </w:r>
      <w:r>
        <w:t>appréhendé</w:t>
      </w:r>
      <w:r w:rsidR="007F4CE1">
        <w:t>s</w:t>
      </w:r>
      <w:r>
        <w:t xml:space="preserve"> comme </w:t>
      </w:r>
      <w:r w:rsidR="007F4CE1">
        <w:t>des</w:t>
      </w:r>
      <w:r>
        <w:t xml:space="preserve"> phrase</w:t>
      </w:r>
      <w:r w:rsidR="007F4CE1">
        <w:t>s</w:t>
      </w:r>
      <w:r>
        <w:t xml:space="preserve"> indivisible</w:t>
      </w:r>
      <w:r w:rsidR="007F4CE1">
        <w:t>s ;</w:t>
      </w:r>
    </w:p>
    <w:p w14:paraId="3C6C99D2" w14:textId="55C8FEE7" w:rsidR="00D42D23" w:rsidRDefault="00D42D23" w:rsidP="00A46C7B">
      <w:pPr>
        <w:pStyle w:val="Paragraphedeliste"/>
        <w:numPr>
          <w:ilvl w:val="0"/>
          <w:numId w:val="34"/>
        </w:numPr>
      </w:pPr>
      <w:r>
        <w:t>L</w:t>
      </w:r>
      <w:r w:rsidR="007F4CE1">
        <w:t>es</w:t>
      </w:r>
      <w:r>
        <w:t xml:space="preserve"> suite</w:t>
      </w:r>
      <w:r w:rsidR="007F4CE1">
        <w:t>s</w:t>
      </w:r>
      <w:r>
        <w:t xml:space="preserve"> de mots suivi</w:t>
      </w:r>
      <w:r w:rsidR="007F4CE1">
        <w:t>es</w:t>
      </w:r>
      <w:r>
        <w:t xml:space="preserve"> d'un sigle souvent entre parenthèses de laquelle on supprime cette dernière partie</w:t>
      </w:r>
      <w:r w:rsidR="007F4CE1">
        <w:t>.</w:t>
      </w:r>
    </w:p>
    <w:p w14:paraId="5C85AF35" w14:textId="40450AB0" w:rsidR="008B053B" w:rsidRDefault="00D42D23" w:rsidP="00567493">
      <w:pPr>
        <w:ind w:firstLine="0"/>
      </w:pPr>
      <w:r>
        <w:t>Chaque mot (ou bloc de mot) est cherché comme une phrase (</w:t>
      </w:r>
      <w:r w:rsidR="00DE7A42">
        <w:t xml:space="preserve">c’est-à-dire un </w:t>
      </w:r>
      <w:r>
        <w:t>bloc indivisible) dans les titres des références du GIEC. En fonction du nombre d'occurrences</w:t>
      </w:r>
      <w:r w:rsidR="00954890">
        <w:t xml:space="preserve"> dans les titres</w:t>
      </w:r>
      <w:r>
        <w:t xml:space="preserve">, on construit l'indice de spécialisation de chaque mot </w:t>
      </w:r>
      <w:r w:rsidR="00954890">
        <w:t xml:space="preserve">stratifié </w:t>
      </w:r>
      <w:r w:rsidR="007F4CE1">
        <w:t>groupe</w:t>
      </w:r>
      <w:r w:rsidR="00954890">
        <w:t xml:space="preserve"> suivant des métriques analogues à celles employés pour les journaux. </w:t>
      </w:r>
    </w:p>
    <w:p w14:paraId="49C1DF09" w14:textId="069A18A5" w:rsidR="00954890" w:rsidRDefault="00DE7A42">
      <w:pPr>
        <w:ind w:firstLine="0"/>
      </w:pPr>
      <w:r>
        <w:t>Les mots-clefs</w:t>
      </w:r>
      <w:r w:rsidR="007F4CE1">
        <w:t xml:space="preserve"> les plus fréquents</w:t>
      </w:r>
      <w:r>
        <w:t xml:space="preserve"> dont l’indice de spécialisation est supérieur à 0,8 sont utilisés </w:t>
      </w:r>
      <w:r w:rsidR="007F4CE1">
        <w:t>pour</w:t>
      </w:r>
      <w:r w:rsidR="00954890">
        <w:t xml:space="preserve"> renforcer</w:t>
      </w:r>
      <w:r w:rsidR="007F4CE1">
        <w:t xml:space="preserve"> les analyses sémantiques ainsi que pour </w:t>
      </w:r>
      <w:r w:rsidR="00954890">
        <w:t xml:space="preserve">permettre </w:t>
      </w:r>
      <w:r w:rsidR="007F4CE1">
        <w:t>des requêtages d’outils</w:t>
      </w:r>
      <w:r w:rsidR="00954890">
        <w:t xml:space="preserve"> bibliométriques (voir ci-dessous).</w:t>
      </w:r>
    </w:p>
    <w:p w14:paraId="60B02DE2" w14:textId="44A5FD02" w:rsidR="00D265CA" w:rsidRDefault="00D265CA">
      <w:pPr>
        <w:ind w:firstLine="0"/>
      </w:pPr>
      <w:r>
        <w:t xml:space="preserve">Par ailleurs, on observe, sans surprise, que le mot « climat » est le plus fréquent dans le corpus du GIEC. S’il est peu spécifique parmi les trois groupes, il est spécifique des thématiques générales GIEC par rapport aux autres domaines de la science. Le terme « climat » est donc employé </w:t>
      </w:r>
      <w:r w:rsidR="001C1832">
        <w:t>également</w:t>
      </w:r>
      <w:r>
        <w:t xml:space="preserve"> pour la construction des filtres sémantiques. </w:t>
      </w:r>
    </w:p>
    <w:p w14:paraId="1B8F7926" w14:textId="50187B0A" w:rsidR="00D265CA" w:rsidRDefault="00D265CA" w:rsidP="00D265CA">
      <w:pPr>
        <w:rPr>
          <w:u w:val="single"/>
        </w:rPr>
      </w:pPr>
      <w:r>
        <w:rPr>
          <w:u w:val="single"/>
        </w:rPr>
        <w:t>II.B. Construction des filtres sémantiques</w:t>
      </w:r>
      <w:r w:rsidR="00F06724">
        <w:rPr>
          <w:u w:val="single"/>
        </w:rPr>
        <w:t xml:space="preserve"> adaptés à la recherche </w:t>
      </w:r>
      <w:r w:rsidR="00F06724" w:rsidRPr="00F06724">
        <w:rPr>
          <w:i/>
          <w:u w:val="single"/>
        </w:rPr>
        <w:t xml:space="preserve">pour </w:t>
      </w:r>
      <w:r w:rsidR="00F06724">
        <w:rPr>
          <w:u w:val="single"/>
        </w:rPr>
        <w:t>l’adaptation</w:t>
      </w:r>
    </w:p>
    <w:p w14:paraId="25A74929" w14:textId="777738B2" w:rsidR="00D265CA" w:rsidRDefault="00D265CA">
      <w:pPr>
        <w:ind w:firstLine="0"/>
      </w:pPr>
      <w:r>
        <w:t xml:space="preserve">Pour un groupe du GIEC donné, le filtre sémantique est donné par la conjonction (opérateur « ET ») du mot « climat » et d’au moins un terme parmi les </w:t>
      </w:r>
      <w:r w:rsidRPr="00D265CA">
        <w:rPr>
          <w:i/>
        </w:rPr>
        <w:t>k</w:t>
      </w:r>
      <w:r>
        <w:t xml:space="preserve"> termes spécifiques les plus fréquents pour ce même groupe. La valeur de </w:t>
      </w:r>
      <w:r w:rsidRPr="00D265CA">
        <w:rPr>
          <w:i/>
        </w:rPr>
        <w:t>k</w:t>
      </w:r>
      <w:r>
        <w:t xml:space="preserve"> est définie au point ci-dessous.</w:t>
      </w:r>
    </w:p>
    <w:p w14:paraId="33C6F9DA" w14:textId="0FA9E71A" w:rsidR="00F06724" w:rsidRDefault="00F06724">
      <w:pPr>
        <w:ind w:firstLine="0"/>
      </w:pPr>
      <w:r>
        <w:t>Le filtre pour la recherche pour l’adaptation est donné par l’union de la méthode dérivée de Nalau et Verall, du filtre du groupe 1, ainsi que du filtre du groupe 2.</w:t>
      </w:r>
    </w:p>
    <w:p w14:paraId="0D910095" w14:textId="77777777" w:rsidR="0009493B" w:rsidRDefault="0009493B">
      <w:pPr>
        <w:ind w:firstLine="0"/>
      </w:pPr>
    </w:p>
    <w:p w14:paraId="03D49E99" w14:textId="5188FAF7" w:rsidR="00D265CA" w:rsidRPr="00BD2F9D" w:rsidRDefault="00D265CA" w:rsidP="00D265CA">
      <w:pPr>
        <w:rPr>
          <w:u w:val="single"/>
        </w:rPr>
      </w:pPr>
      <w:r w:rsidRPr="00BD2F9D">
        <w:rPr>
          <w:u w:val="single"/>
        </w:rPr>
        <w:t>II.</w:t>
      </w:r>
      <w:r>
        <w:rPr>
          <w:u w:val="single"/>
        </w:rPr>
        <w:t>C</w:t>
      </w:r>
      <w:r w:rsidRPr="00BD2F9D">
        <w:rPr>
          <w:u w:val="single"/>
        </w:rPr>
        <w:t xml:space="preserve">. </w:t>
      </w:r>
      <w:r>
        <w:rPr>
          <w:u w:val="single"/>
        </w:rPr>
        <w:t>Paramétrage des filtres à partir de requêtes</w:t>
      </w:r>
      <w:r w:rsidRPr="00BD2F9D">
        <w:rPr>
          <w:u w:val="single"/>
        </w:rPr>
        <w:t xml:space="preserve"> The Lens et HAL</w:t>
      </w:r>
      <w:r>
        <w:rPr>
          <w:u w:val="single"/>
        </w:rPr>
        <w:t>.</w:t>
      </w:r>
    </w:p>
    <w:p w14:paraId="6F0CB297" w14:textId="4193EA6F" w:rsidR="00D265CA" w:rsidRDefault="00D265CA" w:rsidP="00D265CA">
      <w:pPr>
        <w:ind w:firstLine="0"/>
      </w:pPr>
      <w:r>
        <w:lastRenderedPageBreak/>
        <w:t xml:space="preserve">Les mots-clefs dont l’indice de spécialisation est supérieur à 0,8 sont utilisés dans HAL et The Lens (base de données de publications </w:t>
      </w:r>
      <w:r w:rsidR="00024C57">
        <w:t xml:space="preserve">en </w:t>
      </w:r>
      <w:r>
        <w:t>open data</w:t>
      </w:r>
      <w:r w:rsidR="00FA69BB">
        <w:t xml:space="preserve"> à l’échelle du monte entier</w:t>
      </w:r>
      <w:r>
        <w:t xml:space="preserve">) comme filtres pour estimer un volume des corpus, avec différentes valeurs de k employées (voir tableau ci-dessous). </w:t>
      </w:r>
    </w:p>
    <w:p w14:paraId="376AA15D" w14:textId="77777777" w:rsidR="00D265CA" w:rsidRDefault="00D265CA" w:rsidP="00D265CA">
      <w:pPr>
        <w:pStyle w:val="Titretableau"/>
      </w:pPr>
      <w:r>
        <w:t xml:space="preserve"> Ajustement de la valeur de </w:t>
      </w:r>
      <w:r w:rsidRPr="00D265CA">
        <w:rPr>
          <w:i/>
        </w:rPr>
        <w:t>k</w:t>
      </w:r>
      <w:r>
        <w:t xml:space="preserve"> par des requêtes sur HAL et The Lens. </w:t>
      </w:r>
    </w:p>
    <w:p w14:paraId="10BD3AA4" w14:textId="77777777" w:rsidR="00D265CA" w:rsidRDefault="00D265CA" w:rsidP="00D265CA">
      <w:pPr>
        <w:ind w:firstLine="0"/>
        <w:jc w:val="center"/>
      </w:pPr>
      <w:r>
        <w:rPr>
          <w:noProof/>
        </w:rPr>
        <w:drawing>
          <wp:inline distT="0" distB="0" distL="0" distR="0" wp14:anchorId="1CF2F1FF" wp14:editId="512F9852">
            <wp:extent cx="6437710" cy="3615070"/>
            <wp:effectExtent l="0" t="0" r="1270" b="444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xtraction_keywords.PNG"/>
                    <pic:cNvPicPr/>
                  </pic:nvPicPr>
                  <pic:blipFill>
                    <a:blip r:embed="rId27">
                      <a:extLst>
                        <a:ext uri="{28A0092B-C50C-407E-A947-70E740481C1C}">
                          <a14:useLocalDpi xmlns:a14="http://schemas.microsoft.com/office/drawing/2010/main" val="0"/>
                        </a:ext>
                      </a:extLst>
                    </a:blip>
                    <a:stretch>
                      <a:fillRect/>
                    </a:stretch>
                  </pic:blipFill>
                  <pic:spPr>
                    <a:xfrm>
                      <a:off x="0" y="0"/>
                      <a:ext cx="6437710" cy="3615070"/>
                    </a:xfrm>
                    <a:prstGeom prst="rect">
                      <a:avLst/>
                    </a:prstGeom>
                  </pic:spPr>
                </pic:pic>
              </a:graphicData>
            </a:graphic>
          </wp:inline>
        </w:drawing>
      </w:r>
    </w:p>
    <w:p w14:paraId="114A5CA7" w14:textId="3FD5D531" w:rsidR="00D265CA" w:rsidRDefault="00D265CA" w:rsidP="00D265CA">
      <w:pPr>
        <w:ind w:firstLine="0"/>
      </w:pPr>
      <w:r>
        <w:t xml:space="preserve">Le tableau indique qu’une valeur de k = 10 </w:t>
      </w:r>
      <w:r w:rsidR="00FA69BB">
        <w:t xml:space="preserve">suffit pour </w:t>
      </w:r>
      <w:r>
        <w:t>donne</w:t>
      </w:r>
      <w:r w:rsidR="00FA69BB">
        <w:t>r</w:t>
      </w:r>
      <w:r>
        <w:t xml:space="preserve"> des résultats satisfaisants. </w:t>
      </w:r>
    </w:p>
    <w:p w14:paraId="779C84BF" w14:textId="3152D05D" w:rsidR="00D265CA" w:rsidRDefault="00D265CA" w:rsidP="00024C57">
      <w:pPr>
        <w:ind w:firstLine="0"/>
      </w:pPr>
      <w:r>
        <w:t xml:space="preserve">Quelle que soit la valeur de k, on observe </w:t>
      </w:r>
      <w:r w:rsidR="00FA69BB">
        <w:t xml:space="preserve">par ailleurs </w:t>
      </w:r>
      <w:r>
        <w:t xml:space="preserve">que la dysmétrie observée dans le corps de texte du rôle de la recherche française entre les corpus adaptation et atténuation prévaut à grande échelle (voir tableau ci-dessous). </w:t>
      </w:r>
    </w:p>
    <w:p w14:paraId="31AB543A" w14:textId="04DC037B" w:rsidR="0009493B" w:rsidRPr="00BD2F9D" w:rsidRDefault="0009493B" w:rsidP="0009493B">
      <w:pPr>
        <w:rPr>
          <w:u w:val="single"/>
        </w:rPr>
      </w:pPr>
      <w:r w:rsidRPr="00BD2F9D">
        <w:rPr>
          <w:u w:val="single"/>
        </w:rPr>
        <w:t>II.</w:t>
      </w:r>
      <w:r w:rsidR="00024C57">
        <w:rPr>
          <w:u w:val="single"/>
        </w:rPr>
        <w:t>C</w:t>
      </w:r>
      <w:r w:rsidRPr="00BD2F9D">
        <w:rPr>
          <w:u w:val="single"/>
        </w:rPr>
        <w:t xml:space="preserve">. Vérification de cohérence en appliquant la méthode </w:t>
      </w:r>
      <w:r>
        <w:rPr>
          <w:u w:val="single"/>
        </w:rPr>
        <w:t>au jeu de données de référence de l’ANR pour le PNACC.</w:t>
      </w:r>
    </w:p>
    <w:p w14:paraId="16D19CCF" w14:textId="2EE80A52" w:rsidR="00B316E1" w:rsidRPr="00B52820" w:rsidRDefault="00B316E1" w:rsidP="00B316E1">
      <w:r>
        <w:t xml:space="preserve">Les résultats rapportés dans ce tableau ci-dessous </w:t>
      </w:r>
      <w:r w:rsidR="00024C57">
        <w:t xml:space="preserve">permettent de valider les filtres sémantiques </w:t>
      </w:r>
      <w:r w:rsidR="001C1832">
        <w:t>préposés</w:t>
      </w:r>
      <w:r w:rsidR="00024C57">
        <w:t xml:space="preserve"> avec k = 10 et </w:t>
      </w:r>
      <w:r>
        <w:t>confirment le caractère optimal de la recherche par racines de mots clés.</w:t>
      </w:r>
    </w:p>
    <w:p w14:paraId="434A09AF" w14:textId="03E1B51B" w:rsidR="00567493" w:rsidRDefault="00567493">
      <w:pPr>
        <w:ind w:firstLine="0"/>
      </w:pPr>
    </w:p>
    <w:p w14:paraId="5C8DDADD" w14:textId="77777777" w:rsidR="0009493B" w:rsidRDefault="0009493B" w:rsidP="0009493B">
      <w:pPr>
        <w:pStyle w:val="Titretableau"/>
      </w:pPr>
      <w:r>
        <w:lastRenderedPageBreak/>
        <w:t> Estimation de l’erreur commise en regard du jeu de données de l’ANR.</w:t>
      </w:r>
    </w:p>
    <w:tbl>
      <w:tblPr>
        <w:tblStyle w:val="Grilledutableau"/>
        <w:tblW w:w="9074" w:type="dxa"/>
        <w:jc w:val="center"/>
        <w:tblInd w:w="0" w:type="dxa"/>
        <w:tblLook w:val="04A0" w:firstRow="1" w:lastRow="0" w:firstColumn="1" w:lastColumn="0" w:noHBand="0" w:noVBand="1"/>
      </w:tblPr>
      <w:tblGrid>
        <w:gridCol w:w="2206"/>
        <w:gridCol w:w="1673"/>
        <w:gridCol w:w="1397"/>
        <w:gridCol w:w="1346"/>
        <w:gridCol w:w="1120"/>
        <w:gridCol w:w="1332"/>
      </w:tblGrid>
      <w:tr w:rsidR="00024C57" w:rsidRPr="00024C57" w14:paraId="2FFB5BBE" w14:textId="77777777" w:rsidTr="0009493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9124480" w14:textId="77777777" w:rsidR="0009493B" w:rsidRPr="00024C57" w:rsidRDefault="0009493B" w:rsidP="0009493B">
            <w:pPr>
              <w:spacing w:before="0" w:after="0"/>
              <w:ind w:firstLine="0"/>
              <w:jc w:val="center"/>
              <w:rPr>
                <w:rFonts w:asciiTheme="majorHAnsi" w:hAnsiTheme="majorHAnsi" w:cstheme="majorHAnsi"/>
                <w:sz w:val="20"/>
                <w:szCs w:val="24"/>
              </w:rPr>
            </w:pPr>
            <w:r w:rsidRPr="00024C57">
              <w:rPr>
                <w:rFonts w:asciiTheme="majorHAnsi" w:eastAsia="Calibri" w:hAnsiTheme="majorHAnsi" w:cstheme="majorHAnsi"/>
                <w:sz w:val="20"/>
                <w:szCs w:val="24"/>
              </w:rPr>
              <w:t>Modalité d’analyse sémantique (sans les critères d’exclusion)</w:t>
            </w:r>
          </w:p>
        </w:tc>
        <w:tc>
          <w:tcPr>
            <w:tcW w:w="0" w:type="auto"/>
          </w:tcPr>
          <w:p w14:paraId="5CDAB1C6" w14:textId="77777777" w:rsidR="0009493B" w:rsidRPr="00024C57" w:rsidRDefault="0009493B" w:rsidP="0009493B">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Total indiqué par l’ANR comme étant dans le périmètre du PNACC</w:t>
            </w:r>
          </w:p>
        </w:tc>
        <w:tc>
          <w:tcPr>
            <w:tcW w:w="0" w:type="auto"/>
          </w:tcPr>
          <w:p w14:paraId="4CE2D983" w14:textId="77777777" w:rsidR="0009493B" w:rsidRPr="00024C57" w:rsidRDefault="0009493B" w:rsidP="0009493B">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Total détecté par la Cour avec la méthode indiquée</w:t>
            </w:r>
          </w:p>
        </w:tc>
        <w:tc>
          <w:tcPr>
            <w:tcW w:w="0" w:type="auto"/>
          </w:tcPr>
          <w:p w14:paraId="35BF559A" w14:textId="77777777" w:rsidR="0009493B" w:rsidRPr="00024C57" w:rsidRDefault="0009493B" w:rsidP="0009493B">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Total détecté par la Cour présent dans le jeu de l’ANR</w:t>
            </w:r>
          </w:p>
        </w:tc>
        <w:tc>
          <w:tcPr>
            <w:tcW w:w="0" w:type="auto"/>
          </w:tcPr>
          <w:p w14:paraId="0843B4B7" w14:textId="77777777" w:rsidR="0009493B" w:rsidRPr="00024C57" w:rsidRDefault="0009493B" w:rsidP="0009493B">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Part du jeu de l’ANR capté par la Cour</w:t>
            </w:r>
          </w:p>
        </w:tc>
        <w:tc>
          <w:tcPr>
            <w:tcW w:w="0" w:type="auto"/>
          </w:tcPr>
          <w:p w14:paraId="287873B3" w14:textId="77777777" w:rsidR="0009493B" w:rsidRPr="00024C57" w:rsidRDefault="0009493B" w:rsidP="0009493B">
            <w:pPr>
              <w:spacing w:before="0" w:after="0"/>
              <w:ind w:firstLine="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Part de « vrais positifs » parmi les détectés</w:t>
            </w:r>
          </w:p>
        </w:tc>
      </w:tr>
      <w:tr w:rsidR="00024C57" w:rsidRPr="00024C57" w14:paraId="63E11944" w14:textId="77777777" w:rsidTr="000949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16CED4BA" w14:textId="77777777" w:rsidR="00024C57" w:rsidRPr="00024C57" w:rsidRDefault="0009493B" w:rsidP="0009493B">
            <w:pPr>
              <w:spacing w:before="0" w:after="0"/>
              <w:ind w:firstLine="0"/>
              <w:jc w:val="center"/>
              <w:rPr>
                <w:rFonts w:asciiTheme="majorHAnsi" w:eastAsia="Calibri" w:hAnsiTheme="majorHAnsi" w:cstheme="majorHAnsi"/>
                <w:b/>
                <w:i w:val="0"/>
                <w:sz w:val="20"/>
                <w:szCs w:val="24"/>
              </w:rPr>
            </w:pPr>
            <w:r w:rsidRPr="00024C57">
              <w:rPr>
                <w:rFonts w:asciiTheme="majorHAnsi" w:eastAsia="Calibri" w:hAnsiTheme="majorHAnsi" w:cstheme="majorHAnsi"/>
                <w:b/>
                <w:sz w:val="20"/>
                <w:szCs w:val="24"/>
              </w:rPr>
              <w:t>Détection par phrase</w:t>
            </w:r>
            <w:r w:rsidR="00B316E1" w:rsidRPr="00024C57">
              <w:rPr>
                <w:rFonts w:asciiTheme="majorHAnsi" w:eastAsia="Calibri" w:hAnsiTheme="majorHAnsi" w:cstheme="majorHAnsi"/>
                <w:b/>
                <w:sz w:val="20"/>
                <w:szCs w:val="24"/>
              </w:rPr>
              <w:t xml:space="preserve"> </w:t>
            </w:r>
            <w:r w:rsidR="00024C57" w:rsidRPr="00024C57">
              <w:rPr>
                <w:rFonts w:asciiTheme="majorHAnsi" w:eastAsia="Calibri" w:hAnsiTheme="majorHAnsi" w:cstheme="majorHAnsi"/>
                <w:b/>
                <w:sz w:val="20"/>
                <w:szCs w:val="24"/>
              </w:rPr>
              <w:t xml:space="preserve">dérivée de </w:t>
            </w:r>
            <w:r w:rsidR="00B316E1" w:rsidRPr="00024C57">
              <w:rPr>
                <w:rFonts w:asciiTheme="majorHAnsi" w:eastAsia="Calibri" w:hAnsiTheme="majorHAnsi" w:cstheme="majorHAnsi"/>
                <w:b/>
                <w:sz w:val="20"/>
                <w:szCs w:val="24"/>
              </w:rPr>
              <w:t xml:space="preserve">Nalau et Verall </w:t>
            </w:r>
            <w:r w:rsidR="00B316E1" w:rsidRPr="00024C57">
              <w:rPr>
                <w:rFonts w:asciiTheme="majorHAnsi" w:eastAsia="Calibri" w:hAnsiTheme="majorHAnsi" w:cstheme="majorHAnsi"/>
                <w:b/>
                <w:sz w:val="20"/>
                <w:szCs w:val="24"/>
              </w:rPr>
              <w:br/>
            </w:r>
          </w:p>
          <w:p w14:paraId="02551677" w14:textId="47A2FFFC" w:rsidR="00024C57" w:rsidRPr="00024C57" w:rsidRDefault="00024C57" w:rsidP="0009493B">
            <w:pPr>
              <w:spacing w:before="0" w:after="0"/>
              <w:ind w:firstLine="0"/>
              <w:jc w:val="center"/>
              <w:rPr>
                <w:rFonts w:asciiTheme="majorHAnsi" w:eastAsia="Calibri" w:hAnsiTheme="majorHAnsi" w:cstheme="majorHAnsi"/>
                <w:b/>
                <w:i w:val="0"/>
                <w:sz w:val="20"/>
                <w:szCs w:val="24"/>
              </w:rPr>
            </w:pPr>
            <w:r w:rsidRPr="00024C57">
              <w:rPr>
                <w:rFonts w:asciiTheme="majorHAnsi" w:eastAsia="Calibri" w:hAnsiTheme="majorHAnsi" w:cstheme="majorHAnsi"/>
                <w:b/>
                <w:sz w:val="20"/>
                <w:szCs w:val="24"/>
              </w:rPr>
              <w:t>OU</w:t>
            </w:r>
          </w:p>
          <w:p w14:paraId="53433239" w14:textId="77777777" w:rsidR="00024C57" w:rsidRPr="00024C57" w:rsidRDefault="00024C57" w:rsidP="0009493B">
            <w:pPr>
              <w:spacing w:before="0" w:after="0"/>
              <w:ind w:firstLine="0"/>
              <w:jc w:val="center"/>
              <w:rPr>
                <w:rFonts w:asciiTheme="majorHAnsi" w:eastAsia="Calibri" w:hAnsiTheme="majorHAnsi" w:cstheme="majorHAnsi"/>
                <w:b/>
                <w:i w:val="0"/>
                <w:sz w:val="20"/>
                <w:szCs w:val="24"/>
              </w:rPr>
            </w:pPr>
          </w:p>
          <w:p w14:paraId="58FB46F6" w14:textId="0D5105C7" w:rsidR="0009493B" w:rsidRPr="00024C57" w:rsidRDefault="00B316E1" w:rsidP="0009493B">
            <w:pPr>
              <w:spacing w:before="0" w:after="0"/>
              <w:ind w:firstLine="0"/>
              <w:jc w:val="center"/>
              <w:rPr>
                <w:rFonts w:asciiTheme="majorHAnsi" w:eastAsia="Calibri" w:hAnsiTheme="majorHAnsi" w:cstheme="majorHAnsi"/>
                <w:b/>
                <w:i w:val="0"/>
                <w:sz w:val="20"/>
                <w:szCs w:val="24"/>
              </w:rPr>
            </w:pPr>
            <w:r w:rsidRPr="00024C57">
              <w:rPr>
                <w:rFonts w:asciiTheme="majorHAnsi" w:eastAsia="Calibri" w:hAnsiTheme="majorHAnsi" w:cstheme="majorHAnsi"/>
                <w:b/>
                <w:sz w:val="20"/>
                <w:szCs w:val="24"/>
              </w:rPr>
              <w:t xml:space="preserve">« avec le mot « climat » ainsi qu’au moins un mot spécifique du groupe 1 </w:t>
            </w:r>
            <w:r w:rsidR="00024C57" w:rsidRPr="00024C57">
              <w:rPr>
                <w:rFonts w:asciiTheme="majorHAnsi" w:eastAsia="Calibri" w:hAnsiTheme="majorHAnsi" w:cstheme="majorHAnsi"/>
                <w:b/>
                <w:sz w:val="20"/>
                <w:szCs w:val="24"/>
              </w:rPr>
              <w:t xml:space="preserve">(k = 10) </w:t>
            </w:r>
            <w:r w:rsidRPr="00024C57">
              <w:rPr>
                <w:rFonts w:asciiTheme="majorHAnsi" w:eastAsia="Calibri" w:hAnsiTheme="majorHAnsi" w:cstheme="majorHAnsi"/>
                <w:b/>
                <w:sz w:val="20"/>
                <w:szCs w:val="24"/>
              </w:rPr>
              <w:t>ou du groupe 2 </w:t>
            </w:r>
            <w:r w:rsidR="00024C57" w:rsidRPr="00024C57">
              <w:rPr>
                <w:rFonts w:asciiTheme="majorHAnsi" w:eastAsia="Calibri" w:hAnsiTheme="majorHAnsi" w:cstheme="majorHAnsi"/>
                <w:b/>
                <w:sz w:val="20"/>
                <w:szCs w:val="24"/>
              </w:rPr>
              <w:t xml:space="preserve">(k = 10) </w:t>
            </w:r>
            <w:r w:rsidRPr="00024C57">
              <w:rPr>
                <w:rFonts w:asciiTheme="majorHAnsi" w:eastAsia="Calibri" w:hAnsiTheme="majorHAnsi" w:cstheme="majorHAnsi"/>
                <w:b/>
                <w:sz w:val="20"/>
                <w:szCs w:val="24"/>
              </w:rPr>
              <w:t xml:space="preserve">»  </w:t>
            </w:r>
          </w:p>
        </w:tc>
        <w:tc>
          <w:tcPr>
            <w:tcW w:w="0" w:type="auto"/>
          </w:tcPr>
          <w:p w14:paraId="3ADE3B63" w14:textId="77777777" w:rsidR="0009493B" w:rsidRPr="00024C57" w:rsidRDefault="0009493B"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828</w:t>
            </w:r>
          </w:p>
        </w:tc>
        <w:tc>
          <w:tcPr>
            <w:tcW w:w="0" w:type="auto"/>
          </w:tcPr>
          <w:p w14:paraId="7A990DA4" w14:textId="674E0207" w:rsidR="0009493B" w:rsidRPr="00024C57" w:rsidRDefault="0009493B"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895</w:t>
            </w:r>
          </w:p>
        </w:tc>
        <w:tc>
          <w:tcPr>
            <w:tcW w:w="0" w:type="auto"/>
          </w:tcPr>
          <w:p w14:paraId="5CAD541F" w14:textId="24005D36" w:rsidR="0009493B" w:rsidRPr="00024C57" w:rsidRDefault="0009493B"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595</w:t>
            </w:r>
          </w:p>
        </w:tc>
        <w:tc>
          <w:tcPr>
            <w:tcW w:w="0" w:type="auto"/>
          </w:tcPr>
          <w:p w14:paraId="008119BC" w14:textId="75C2346B" w:rsidR="0009493B" w:rsidRPr="00024C57" w:rsidRDefault="001A4383"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71,9 %</w:t>
            </w:r>
          </w:p>
        </w:tc>
        <w:tc>
          <w:tcPr>
            <w:tcW w:w="0" w:type="auto"/>
          </w:tcPr>
          <w:p w14:paraId="73C4E70F" w14:textId="3ED25057" w:rsidR="0009493B" w:rsidRPr="00024C57" w:rsidRDefault="001A4383"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66,5 %</w:t>
            </w:r>
          </w:p>
        </w:tc>
      </w:tr>
      <w:tr w:rsidR="00024C57" w:rsidRPr="00024C57" w14:paraId="75FAABD0" w14:textId="77777777" w:rsidTr="0009493B">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097B1CBB" w14:textId="77777777" w:rsidR="00024C57" w:rsidRPr="00024C57" w:rsidRDefault="0009493B" w:rsidP="00024C57">
            <w:pPr>
              <w:spacing w:before="0" w:after="0"/>
              <w:ind w:firstLine="0"/>
              <w:jc w:val="center"/>
              <w:rPr>
                <w:rFonts w:asciiTheme="majorHAnsi" w:eastAsia="Calibri" w:hAnsiTheme="majorHAnsi" w:cstheme="majorHAnsi"/>
                <w:b/>
                <w:i w:val="0"/>
                <w:sz w:val="20"/>
                <w:szCs w:val="24"/>
              </w:rPr>
            </w:pPr>
            <w:r w:rsidRPr="00024C57">
              <w:rPr>
                <w:rFonts w:asciiTheme="majorHAnsi" w:eastAsia="Calibri" w:hAnsiTheme="majorHAnsi" w:cstheme="majorHAnsi"/>
                <w:b/>
                <w:sz w:val="20"/>
                <w:szCs w:val="24"/>
              </w:rPr>
              <w:t>Détection par racines de mots</w:t>
            </w:r>
            <w:r w:rsidR="00B316E1" w:rsidRPr="00024C57">
              <w:rPr>
                <w:rFonts w:asciiTheme="majorHAnsi" w:eastAsia="Calibri" w:hAnsiTheme="majorHAnsi" w:cstheme="majorHAnsi"/>
                <w:b/>
                <w:sz w:val="20"/>
                <w:szCs w:val="24"/>
              </w:rPr>
              <w:t xml:space="preserve"> </w:t>
            </w:r>
            <w:r w:rsidR="00024C57" w:rsidRPr="00024C57">
              <w:rPr>
                <w:rFonts w:asciiTheme="majorHAnsi" w:eastAsia="Calibri" w:hAnsiTheme="majorHAnsi" w:cstheme="majorHAnsi"/>
                <w:b/>
                <w:sz w:val="20"/>
                <w:szCs w:val="24"/>
              </w:rPr>
              <w:t xml:space="preserve">dérivée de Nalau et Verall </w:t>
            </w:r>
            <w:r w:rsidR="00B316E1" w:rsidRPr="00024C57">
              <w:rPr>
                <w:rFonts w:asciiTheme="majorHAnsi" w:eastAsia="Calibri" w:hAnsiTheme="majorHAnsi" w:cstheme="majorHAnsi"/>
                <w:b/>
                <w:sz w:val="20"/>
                <w:szCs w:val="24"/>
              </w:rPr>
              <w:br/>
            </w:r>
          </w:p>
          <w:p w14:paraId="56ECEDAE" w14:textId="77777777" w:rsidR="00024C57" w:rsidRPr="00024C57" w:rsidRDefault="00024C57" w:rsidP="00024C57">
            <w:pPr>
              <w:spacing w:before="0" w:after="0"/>
              <w:ind w:firstLine="0"/>
              <w:jc w:val="center"/>
              <w:rPr>
                <w:rFonts w:asciiTheme="majorHAnsi" w:eastAsia="Calibri" w:hAnsiTheme="majorHAnsi" w:cstheme="majorHAnsi"/>
                <w:b/>
                <w:i w:val="0"/>
                <w:sz w:val="20"/>
                <w:szCs w:val="24"/>
              </w:rPr>
            </w:pPr>
            <w:r w:rsidRPr="00024C57">
              <w:rPr>
                <w:rFonts w:asciiTheme="majorHAnsi" w:eastAsia="Calibri" w:hAnsiTheme="majorHAnsi" w:cstheme="majorHAnsi"/>
                <w:b/>
                <w:sz w:val="20"/>
                <w:szCs w:val="24"/>
              </w:rPr>
              <w:t>OU</w:t>
            </w:r>
          </w:p>
          <w:p w14:paraId="4D9343F5" w14:textId="3DE97B11" w:rsidR="0009493B" w:rsidRPr="00024C57" w:rsidRDefault="00024C57" w:rsidP="00024C57">
            <w:pPr>
              <w:spacing w:before="0" w:after="0"/>
              <w:ind w:firstLine="0"/>
              <w:jc w:val="center"/>
              <w:rPr>
                <w:rFonts w:asciiTheme="majorHAnsi" w:hAnsiTheme="majorHAnsi" w:cstheme="majorHAnsi"/>
                <w:b/>
                <w:sz w:val="20"/>
                <w:szCs w:val="24"/>
              </w:rPr>
            </w:pPr>
            <w:r w:rsidRPr="00024C57">
              <w:rPr>
                <w:rFonts w:asciiTheme="majorHAnsi" w:eastAsia="Calibri" w:hAnsiTheme="majorHAnsi" w:cstheme="majorHAnsi"/>
                <w:b/>
                <w:sz w:val="20"/>
                <w:szCs w:val="24"/>
              </w:rPr>
              <w:br/>
              <w:t xml:space="preserve">« avec le mot « climat » ainsi qu’au moins un mot spécifique du groupe 1 (k = 10) ou du groupe 2 (k = 10) »  </w:t>
            </w:r>
          </w:p>
        </w:tc>
        <w:tc>
          <w:tcPr>
            <w:tcW w:w="0" w:type="auto"/>
          </w:tcPr>
          <w:p w14:paraId="25A2EA51" w14:textId="5A3F9427" w:rsidR="0009493B" w:rsidRPr="00024C57" w:rsidRDefault="00B316E1" w:rsidP="0009493B">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 w:val="20"/>
                <w:szCs w:val="24"/>
              </w:rPr>
            </w:pPr>
            <w:r w:rsidRPr="00024C57">
              <w:rPr>
                <w:rFonts w:asciiTheme="majorHAnsi" w:hAnsiTheme="majorHAnsi" w:cstheme="majorHAnsi"/>
                <w:b/>
                <w:sz w:val="20"/>
                <w:szCs w:val="24"/>
              </w:rPr>
              <w:t>828</w:t>
            </w:r>
          </w:p>
        </w:tc>
        <w:tc>
          <w:tcPr>
            <w:tcW w:w="0" w:type="auto"/>
          </w:tcPr>
          <w:p w14:paraId="7603F6DF" w14:textId="389B9974" w:rsidR="0009493B" w:rsidRPr="00024C57" w:rsidRDefault="00B316E1" w:rsidP="0009493B">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 w:val="20"/>
                <w:szCs w:val="24"/>
              </w:rPr>
            </w:pPr>
            <w:r w:rsidRPr="00024C57">
              <w:rPr>
                <w:rFonts w:asciiTheme="majorHAnsi" w:hAnsiTheme="majorHAnsi" w:cstheme="majorHAnsi"/>
                <w:b/>
                <w:sz w:val="20"/>
                <w:szCs w:val="24"/>
              </w:rPr>
              <w:t>987</w:t>
            </w:r>
          </w:p>
        </w:tc>
        <w:tc>
          <w:tcPr>
            <w:tcW w:w="0" w:type="auto"/>
          </w:tcPr>
          <w:p w14:paraId="1122B3DD" w14:textId="2CB52B34" w:rsidR="0009493B" w:rsidRPr="00024C57" w:rsidRDefault="00B316E1" w:rsidP="0009493B">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 w:val="20"/>
                <w:szCs w:val="24"/>
              </w:rPr>
            </w:pPr>
            <w:r w:rsidRPr="00024C57">
              <w:rPr>
                <w:rFonts w:asciiTheme="majorHAnsi" w:hAnsiTheme="majorHAnsi" w:cstheme="majorHAnsi"/>
                <w:b/>
                <w:sz w:val="20"/>
                <w:szCs w:val="24"/>
              </w:rPr>
              <w:t>637</w:t>
            </w:r>
          </w:p>
        </w:tc>
        <w:tc>
          <w:tcPr>
            <w:tcW w:w="0" w:type="auto"/>
          </w:tcPr>
          <w:p w14:paraId="7B5AD9A8" w14:textId="6D471F41" w:rsidR="0009493B" w:rsidRPr="00024C57" w:rsidRDefault="00B316E1" w:rsidP="0009493B">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 w:val="20"/>
                <w:szCs w:val="24"/>
              </w:rPr>
            </w:pPr>
            <w:r w:rsidRPr="00024C57">
              <w:rPr>
                <w:rFonts w:asciiTheme="majorHAnsi" w:hAnsiTheme="majorHAnsi" w:cstheme="majorHAnsi"/>
                <w:b/>
                <w:sz w:val="20"/>
                <w:szCs w:val="24"/>
              </w:rPr>
              <w:t>76,9 %</w:t>
            </w:r>
          </w:p>
        </w:tc>
        <w:tc>
          <w:tcPr>
            <w:tcW w:w="0" w:type="auto"/>
          </w:tcPr>
          <w:p w14:paraId="675D00F5" w14:textId="39224109" w:rsidR="0009493B" w:rsidRPr="00024C57" w:rsidRDefault="00B316E1" w:rsidP="0009493B">
            <w:pPr>
              <w:spacing w:before="0" w:after="0"/>
              <w:ind w:firstLine="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sz w:val="20"/>
                <w:szCs w:val="24"/>
              </w:rPr>
            </w:pPr>
            <w:r w:rsidRPr="00024C57">
              <w:rPr>
                <w:rFonts w:asciiTheme="majorHAnsi" w:hAnsiTheme="majorHAnsi" w:cstheme="majorHAnsi"/>
                <w:b/>
                <w:sz w:val="20"/>
                <w:szCs w:val="24"/>
              </w:rPr>
              <w:t>64,5 %</w:t>
            </w:r>
          </w:p>
        </w:tc>
      </w:tr>
      <w:tr w:rsidR="00024C57" w:rsidRPr="00024C57" w14:paraId="7D086940" w14:textId="77777777" w:rsidTr="0009493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3A4C5593" w14:textId="77777777" w:rsidR="00024C57" w:rsidRPr="00024C57" w:rsidRDefault="0009493B" w:rsidP="00024C57">
            <w:pPr>
              <w:spacing w:before="0" w:after="0"/>
              <w:ind w:firstLine="0"/>
              <w:jc w:val="center"/>
              <w:rPr>
                <w:rFonts w:asciiTheme="majorHAnsi" w:eastAsia="Calibri" w:hAnsiTheme="majorHAnsi" w:cstheme="majorHAnsi"/>
                <w:b/>
                <w:i w:val="0"/>
                <w:sz w:val="20"/>
                <w:szCs w:val="24"/>
              </w:rPr>
            </w:pPr>
            <w:r w:rsidRPr="00024C57">
              <w:rPr>
                <w:rFonts w:asciiTheme="majorHAnsi" w:eastAsia="Calibri" w:hAnsiTheme="majorHAnsi" w:cstheme="majorHAnsi"/>
                <w:b/>
                <w:sz w:val="20"/>
                <w:szCs w:val="24"/>
              </w:rPr>
              <w:t>Détection par caractères</w:t>
            </w:r>
            <w:r w:rsidR="00B316E1" w:rsidRPr="00024C57">
              <w:rPr>
                <w:rFonts w:asciiTheme="majorHAnsi" w:eastAsia="Calibri" w:hAnsiTheme="majorHAnsi" w:cstheme="majorHAnsi"/>
                <w:b/>
                <w:sz w:val="20"/>
                <w:szCs w:val="24"/>
              </w:rPr>
              <w:t xml:space="preserve"> </w:t>
            </w:r>
            <w:r w:rsidR="00024C57" w:rsidRPr="00024C57">
              <w:rPr>
                <w:rFonts w:asciiTheme="majorHAnsi" w:eastAsia="Calibri" w:hAnsiTheme="majorHAnsi" w:cstheme="majorHAnsi"/>
                <w:b/>
                <w:sz w:val="20"/>
                <w:szCs w:val="24"/>
              </w:rPr>
              <w:t>dérivée de Nalau et Verall</w:t>
            </w:r>
            <w:r w:rsidR="00B316E1" w:rsidRPr="00024C57">
              <w:rPr>
                <w:rFonts w:asciiTheme="majorHAnsi" w:eastAsia="Calibri" w:hAnsiTheme="majorHAnsi" w:cstheme="majorHAnsi"/>
                <w:b/>
                <w:sz w:val="20"/>
                <w:szCs w:val="24"/>
              </w:rPr>
              <w:br/>
            </w:r>
          </w:p>
          <w:p w14:paraId="733C7587" w14:textId="5453C079" w:rsidR="00024C57" w:rsidRPr="00024C57" w:rsidRDefault="00024C57" w:rsidP="00024C57">
            <w:pPr>
              <w:spacing w:before="0" w:after="0"/>
              <w:ind w:firstLine="0"/>
              <w:jc w:val="center"/>
              <w:rPr>
                <w:rFonts w:asciiTheme="majorHAnsi" w:eastAsia="Calibri" w:hAnsiTheme="majorHAnsi" w:cstheme="majorHAnsi"/>
                <w:b/>
                <w:i w:val="0"/>
                <w:sz w:val="20"/>
                <w:szCs w:val="24"/>
              </w:rPr>
            </w:pPr>
            <w:r w:rsidRPr="00024C57">
              <w:rPr>
                <w:rFonts w:asciiTheme="majorHAnsi" w:eastAsia="Calibri" w:hAnsiTheme="majorHAnsi" w:cstheme="majorHAnsi"/>
                <w:b/>
                <w:sz w:val="20"/>
                <w:szCs w:val="24"/>
              </w:rPr>
              <w:t>OU</w:t>
            </w:r>
            <w:r w:rsidRPr="00024C57">
              <w:rPr>
                <w:rFonts w:asciiTheme="majorHAnsi" w:eastAsia="Calibri" w:hAnsiTheme="majorHAnsi" w:cstheme="majorHAnsi"/>
                <w:b/>
                <w:sz w:val="20"/>
                <w:szCs w:val="24"/>
              </w:rPr>
              <w:br/>
            </w:r>
          </w:p>
          <w:p w14:paraId="2C9E5196" w14:textId="0221139C" w:rsidR="0009493B" w:rsidRPr="00024C57" w:rsidRDefault="00024C57" w:rsidP="00024C57">
            <w:pPr>
              <w:spacing w:before="0" w:after="0"/>
              <w:ind w:firstLine="0"/>
              <w:jc w:val="center"/>
              <w:rPr>
                <w:rFonts w:asciiTheme="majorHAnsi" w:eastAsia="Calibri" w:hAnsiTheme="majorHAnsi" w:cstheme="majorHAnsi"/>
                <w:b/>
                <w:sz w:val="20"/>
                <w:szCs w:val="24"/>
              </w:rPr>
            </w:pPr>
            <w:r w:rsidRPr="00024C57">
              <w:rPr>
                <w:rFonts w:asciiTheme="majorHAnsi" w:eastAsia="Calibri" w:hAnsiTheme="majorHAnsi" w:cstheme="majorHAnsi"/>
                <w:b/>
                <w:sz w:val="20"/>
                <w:szCs w:val="24"/>
              </w:rPr>
              <w:t xml:space="preserve">« avec le mot « climat » ainsi qu’au moins un mot spécifique du groupe 1 (k = 10) ou du groupe 2 (k = 10) »  </w:t>
            </w:r>
          </w:p>
        </w:tc>
        <w:tc>
          <w:tcPr>
            <w:tcW w:w="0" w:type="auto"/>
          </w:tcPr>
          <w:p w14:paraId="50ACA741" w14:textId="3CA14140" w:rsidR="0009493B" w:rsidRPr="00024C57" w:rsidRDefault="00B316E1"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828</w:t>
            </w:r>
          </w:p>
        </w:tc>
        <w:tc>
          <w:tcPr>
            <w:tcW w:w="0" w:type="auto"/>
          </w:tcPr>
          <w:p w14:paraId="0A99588F" w14:textId="766AF3AA" w:rsidR="0009493B" w:rsidRPr="00024C57" w:rsidRDefault="00B316E1"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1053</w:t>
            </w:r>
          </w:p>
        </w:tc>
        <w:tc>
          <w:tcPr>
            <w:tcW w:w="0" w:type="auto"/>
          </w:tcPr>
          <w:p w14:paraId="37E727AA" w14:textId="670F39D8" w:rsidR="0009493B" w:rsidRPr="00024C57" w:rsidRDefault="00B316E1"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659</w:t>
            </w:r>
          </w:p>
        </w:tc>
        <w:tc>
          <w:tcPr>
            <w:tcW w:w="0" w:type="auto"/>
          </w:tcPr>
          <w:p w14:paraId="39E963B3" w14:textId="2D92D8FB" w:rsidR="0009493B" w:rsidRPr="00024C57" w:rsidRDefault="00B316E1"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79,6 %</w:t>
            </w:r>
          </w:p>
        </w:tc>
        <w:tc>
          <w:tcPr>
            <w:tcW w:w="0" w:type="auto"/>
          </w:tcPr>
          <w:p w14:paraId="49A293AE" w14:textId="7D916A79" w:rsidR="0009493B" w:rsidRPr="00024C57" w:rsidRDefault="00B316E1" w:rsidP="0009493B">
            <w:pPr>
              <w:spacing w:before="0" w:after="0"/>
              <w:ind w:firstLine="0"/>
              <w:jc w:val="center"/>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4"/>
              </w:rPr>
            </w:pPr>
            <w:r w:rsidRPr="00024C57">
              <w:rPr>
                <w:rFonts w:asciiTheme="majorHAnsi" w:hAnsiTheme="majorHAnsi" w:cstheme="majorHAnsi"/>
                <w:sz w:val="20"/>
                <w:szCs w:val="24"/>
              </w:rPr>
              <w:t>62,3 %</w:t>
            </w:r>
          </w:p>
        </w:tc>
      </w:tr>
    </w:tbl>
    <w:p w14:paraId="46BAC3CC" w14:textId="77777777" w:rsidR="0009493B" w:rsidRDefault="0009493B" w:rsidP="0009493B">
      <w:pPr>
        <w:pStyle w:val="Sourcenote"/>
        <w:rPr>
          <w:u w:val="single"/>
        </w:rPr>
      </w:pPr>
      <w:r>
        <w:rPr>
          <w:rFonts w:eastAsia="Calibri"/>
        </w:rPr>
        <w:t>Source : analyses Cour des comptes comparée avec le jeu de référence de l’ANR ainsi que les données ouvertes de l’ANR.</w:t>
      </w:r>
    </w:p>
    <w:p w14:paraId="39F5AC40" w14:textId="2761755F" w:rsidR="003A5FF4" w:rsidRDefault="003A5FF4">
      <w:pPr>
        <w:spacing w:before="0" w:after="200" w:line="276" w:lineRule="auto"/>
        <w:ind w:firstLine="0"/>
        <w:jc w:val="left"/>
      </w:pPr>
      <w:r>
        <w:br w:type="page"/>
      </w:r>
    </w:p>
    <w:p w14:paraId="0A2F87AB" w14:textId="6213B803" w:rsidR="009A0633" w:rsidRDefault="009A0633" w:rsidP="000F2B93">
      <w:pPr>
        <w:pStyle w:val="Titre1"/>
        <w:jc w:val="center"/>
      </w:pPr>
      <w:bookmarkStart w:id="23" w:name="_Toc160528286"/>
      <w:r>
        <w:lastRenderedPageBreak/>
        <w:t>Analyse</w:t>
      </w:r>
      <w:r w:rsidR="00202B8A">
        <w:t xml:space="preserve"> de robustesse avec</w:t>
      </w:r>
      <w:r>
        <w:t xml:space="preserve"> </w:t>
      </w:r>
      <w:r w:rsidR="00202B8A">
        <w:t>le</w:t>
      </w:r>
      <w:r>
        <w:t xml:space="preserve">s données </w:t>
      </w:r>
      <w:r w:rsidR="00202B8A">
        <w:t>« </w:t>
      </w:r>
      <w:r w:rsidRPr="00202B8A">
        <w:rPr>
          <w:i/>
        </w:rPr>
        <w:t>Web of Science</w:t>
      </w:r>
      <w:r w:rsidR="00202B8A">
        <w:t> »</w:t>
      </w:r>
      <w:r>
        <w:t xml:space="preserve"> de l’ANR</w:t>
      </w:r>
      <w:bookmarkEnd w:id="23"/>
    </w:p>
    <w:p w14:paraId="71988985" w14:textId="2F50F836" w:rsidR="00281D85" w:rsidRPr="00281D85" w:rsidRDefault="00281D85" w:rsidP="00281D85">
      <w:pPr>
        <w:rPr>
          <w:u w:val="single"/>
        </w:rPr>
      </w:pPr>
      <w:r>
        <w:rPr>
          <w:u w:val="single"/>
        </w:rPr>
        <w:t>Objectifs</w:t>
      </w:r>
    </w:p>
    <w:p w14:paraId="1865C70D" w14:textId="03C73B0B" w:rsidR="0045004A" w:rsidRDefault="00281D85" w:rsidP="00281D85">
      <w:r>
        <w:t>Afin de préciser la portée des analyses réalisées à partir de</w:t>
      </w:r>
      <w:r w:rsidR="00202B8A">
        <w:t>s</w:t>
      </w:r>
      <w:r>
        <w:t xml:space="preserve"> </w:t>
      </w:r>
      <w:r w:rsidR="00202B8A">
        <w:t xml:space="preserve">outils </w:t>
      </w:r>
      <w:r>
        <w:t>HAL</w:t>
      </w:r>
      <w:r w:rsidR="00202B8A">
        <w:t xml:space="preserve"> et </w:t>
      </w:r>
      <w:r w:rsidR="00202B8A" w:rsidRPr="00202B8A">
        <w:rPr>
          <w:i/>
        </w:rPr>
        <w:t>InCites</w:t>
      </w:r>
      <w:r>
        <w:t>, la Cour a réalisé des échanges méthodologiques approfondis avec l’ANR</w:t>
      </w:r>
      <w:r w:rsidR="0045004A">
        <w:t xml:space="preserve"> </w:t>
      </w:r>
      <w:r>
        <w:t xml:space="preserve">qui </w:t>
      </w:r>
      <w:r w:rsidR="00482CBD">
        <w:t>exploite l’outil du</w:t>
      </w:r>
      <w:r>
        <w:t xml:space="preserve"> « </w:t>
      </w:r>
      <w:r w:rsidRPr="0045004A">
        <w:rPr>
          <w:i/>
        </w:rPr>
        <w:t>Web of Science</w:t>
      </w:r>
      <w:r>
        <w:t> »</w:t>
      </w:r>
      <w:r w:rsidR="0045004A">
        <w:t xml:space="preserve">. </w:t>
      </w:r>
      <w:r>
        <w:t>Sur la base des 42 325 données de citations du GIEC harmonisées par la Cour, l’ANR a pu récupérer 36 121 références à partir de l’outil « </w:t>
      </w:r>
      <w:r w:rsidRPr="0045004A">
        <w:rPr>
          <w:i/>
        </w:rPr>
        <w:t>Web of Science</w:t>
      </w:r>
      <w:r>
        <w:t xml:space="preserve"> ». </w:t>
      </w:r>
    </w:p>
    <w:p w14:paraId="31EED3A7" w14:textId="18814F1C" w:rsidR="0045004A" w:rsidRDefault="0045004A" w:rsidP="00281D85">
      <w:r>
        <w:t>Les métadonnées tirées de « </w:t>
      </w:r>
      <w:r w:rsidRPr="0045004A">
        <w:rPr>
          <w:i/>
        </w:rPr>
        <w:t>Web of Science</w:t>
      </w:r>
      <w:r>
        <w:t> » ont</w:t>
      </w:r>
      <w:r w:rsidR="00512FF8">
        <w:t xml:space="preserve"> permis des vérifications ciblées, tant par l’ANR que par la Cour</w:t>
      </w:r>
      <w:r w:rsidR="00336556">
        <w:t>,</w:t>
      </w:r>
      <w:r w:rsidR="00512FF8">
        <w:t xml:space="preserve"> de façon indépendante, afin de dresser un panorama aussi </w:t>
      </w:r>
      <w:r w:rsidR="00516F8F">
        <w:t xml:space="preserve">robuste </w:t>
      </w:r>
      <w:r w:rsidR="00512FF8">
        <w:t>et précis que possible sur la recherche pour l’adaptation.</w:t>
      </w:r>
      <w:r>
        <w:t xml:space="preserve"> </w:t>
      </w:r>
    </w:p>
    <w:p w14:paraId="72101A76" w14:textId="340D8A04" w:rsidR="0045004A" w:rsidRDefault="00281D85" w:rsidP="00281D85">
      <w:pPr>
        <w:rPr>
          <w:u w:val="single"/>
        </w:rPr>
      </w:pPr>
      <w:r>
        <w:rPr>
          <w:u w:val="single"/>
        </w:rPr>
        <w:t>Résultats</w:t>
      </w:r>
    </w:p>
    <w:p w14:paraId="3289699B" w14:textId="62F089ED" w:rsidR="0045004A" w:rsidRDefault="0045004A" w:rsidP="00281D85">
      <w:r>
        <w:t>L’analyse des métadonnées de « </w:t>
      </w:r>
      <w:r w:rsidRPr="0045004A">
        <w:rPr>
          <w:i/>
        </w:rPr>
        <w:t>Web of Science</w:t>
      </w:r>
      <w:r>
        <w:t> » indiquent que la couverture de HAL est</w:t>
      </w:r>
      <w:r w:rsidR="00C40531">
        <w:t xml:space="preserve"> globalement</w:t>
      </w:r>
      <w:r w:rsidR="005D2135">
        <w:t xml:space="preserve"> très</w:t>
      </w:r>
      <w:r>
        <w:t xml:space="preserve"> satisfaisante pour ce qui concerne les citations du GIEC</w:t>
      </w:r>
      <w:r w:rsidR="005D2135">
        <w:t xml:space="preserve"> (voir tableau ci-dessous)</w:t>
      </w:r>
      <w:r>
        <w:t xml:space="preserve">. Avec l’emploi de HAL pris isolément, il </w:t>
      </w:r>
      <w:r w:rsidRPr="0045004A">
        <w:t xml:space="preserve">est </w:t>
      </w:r>
      <w:r>
        <w:t xml:space="preserve">en effet </w:t>
      </w:r>
      <w:r w:rsidRPr="0045004A">
        <w:t xml:space="preserve">possible de </w:t>
      </w:r>
      <w:r w:rsidR="00C40531">
        <w:t>capter plus de 70 %</w:t>
      </w:r>
      <w:r w:rsidRPr="0045004A">
        <w:t xml:space="preserve"> de la production totale française telle que retracée dans l’union </w:t>
      </w:r>
      <w:r>
        <w:t>mathématique des références françaises retracées dans</w:t>
      </w:r>
      <w:r w:rsidRPr="0045004A">
        <w:t xml:space="preserve"> HAL et </w:t>
      </w:r>
      <w:r>
        <w:t>« </w:t>
      </w:r>
      <w:r w:rsidRPr="0045004A">
        <w:rPr>
          <w:i/>
        </w:rPr>
        <w:t>Web of Science</w:t>
      </w:r>
      <w:r>
        <w:t> »</w:t>
      </w:r>
      <w:r w:rsidR="00DE0766">
        <w:t xml:space="preserve"> pour la France</w:t>
      </w:r>
      <w:r w:rsidR="00C40531">
        <w:t>. Le ratio entre les nombres respectifs de références retracées dans HAL et « </w:t>
      </w:r>
      <w:r w:rsidR="00C40531" w:rsidRPr="0045004A">
        <w:rPr>
          <w:i/>
        </w:rPr>
        <w:t>Web of Science</w:t>
      </w:r>
      <w:r w:rsidR="00C40531">
        <w:t xml:space="preserve"> » </w:t>
      </w:r>
      <w:r w:rsidR="00DE0766">
        <w:t xml:space="preserve">(France) </w:t>
      </w:r>
      <w:r w:rsidR="00C40531">
        <w:t>est supérieur à 76 %.</w:t>
      </w:r>
    </w:p>
    <w:p w14:paraId="63A87B30" w14:textId="14467A9E" w:rsidR="005D2135" w:rsidRDefault="007D22FE" w:rsidP="00676ED5">
      <w:pPr>
        <w:pStyle w:val="Titretableau"/>
      </w:pPr>
      <w:r>
        <w:t> Analyse du recouvrement entre HAL et « </w:t>
      </w:r>
      <w:r w:rsidRPr="007D22FE">
        <w:rPr>
          <w:i/>
        </w:rPr>
        <w:t>Web of Science</w:t>
      </w:r>
      <w:r>
        <w:t> »</w:t>
      </w:r>
      <w:r w:rsidR="00CE5A5D">
        <w:t xml:space="preserve"> (WOS)</w:t>
      </w:r>
      <w:r>
        <w:t>.</w:t>
      </w:r>
    </w:p>
    <w:tbl>
      <w:tblPr>
        <w:tblStyle w:val="Grilledutableau"/>
        <w:tblW w:w="0" w:type="auto"/>
        <w:tblInd w:w="116" w:type="dxa"/>
        <w:tblLook w:val="04A0" w:firstRow="1" w:lastRow="0" w:firstColumn="1" w:lastColumn="0" w:noHBand="0" w:noVBand="1"/>
      </w:tblPr>
      <w:tblGrid>
        <w:gridCol w:w="6542"/>
        <w:gridCol w:w="2396"/>
      </w:tblGrid>
      <w:tr w:rsidR="005D2135" w14:paraId="798942F9" w14:textId="77777777" w:rsidTr="00676E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252872E" w14:textId="20B59649" w:rsidR="005D2135" w:rsidRDefault="005D2135" w:rsidP="00676ED5">
            <w:pPr>
              <w:spacing w:before="0" w:after="0"/>
              <w:ind w:firstLine="0"/>
              <w:jc w:val="center"/>
            </w:pPr>
            <w:r>
              <w:t>Périmètre de l’analyse pour la France explicitement identifiée dans les bases</w:t>
            </w:r>
          </w:p>
        </w:tc>
        <w:tc>
          <w:tcPr>
            <w:tcW w:w="0" w:type="auto"/>
          </w:tcPr>
          <w:p w14:paraId="6318F71B" w14:textId="727A621F" w:rsidR="005D2135" w:rsidRDefault="005D2135" w:rsidP="00676ED5">
            <w:pPr>
              <w:spacing w:before="0" w:after="0"/>
              <w:ind w:firstLine="0"/>
              <w:jc w:val="center"/>
              <w:cnfStyle w:val="100000000000" w:firstRow="1" w:lastRow="0" w:firstColumn="0" w:lastColumn="0" w:oddVBand="0" w:evenVBand="0" w:oddHBand="0" w:evenHBand="0" w:firstRowFirstColumn="0" w:firstRowLastColumn="0" w:lastRowFirstColumn="0" w:lastRowLastColumn="0"/>
            </w:pPr>
            <w:r>
              <w:t>Nombre de DOI uniques</w:t>
            </w:r>
          </w:p>
        </w:tc>
      </w:tr>
      <w:tr w:rsidR="005D2135" w14:paraId="173751BA" w14:textId="77777777" w:rsidTr="00676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1DB3887" w14:textId="3DB77FB8" w:rsidR="005D2135" w:rsidRDefault="00CE5A5D" w:rsidP="00676ED5">
            <w:pPr>
              <w:spacing w:before="0" w:after="0"/>
              <w:ind w:firstLine="0"/>
              <w:jc w:val="center"/>
            </w:pPr>
            <w:r>
              <w:t>WOS</w:t>
            </w:r>
            <w:r w:rsidR="00DE0766">
              <w:t xml:space="preserve"> (France)</w:t>
            </w:r>
          </w:p>
        </w:tc>
        <w:tc>
          <w:tcPr>
            <w:tcW w:w="0" w:type="auto"/>
          </w:tcPr>
          <w:p w14:paraId="7214666F" w14:textId="48512F0A" w:rsidR="005D2135" w:rsidRDefault="005D2135" w:rsidP="00676ED5">
            <w:pPr>
              <w:spacing w:before="0" w:after="0"/>
              <w:ind w:firstLine="0"/>
              <w:jc w:val="center"/>
              <w:cnfStyle w:val="000000100000" w:firstRow="0" w:lastRow="0" w:firstColumn="0" w:lastColumn="0" w:oddVBand="0" w:evenVBand="0" w:oddHBand="1" w:evenHBand="0" w:firstRowFirstColumn="0" w:firstRowLastColumn="0" w:lastRowFirstColumn="0" w:lastRowLastColumn="0"/>
            </w:pPr>
            <w:r>
              <w:t>3 168</w:t>
            </w:r>
          </w:p>
        </w:tc>
      </w:tr>
      <w:tr w:rsidR="005D2135" w14:paraId="38BABD09" w14:textId="77777777" w:rsidTr="00676ED5">
        <w:tc>
          <w:tcPr>
            <w:cnfStyle w:val="001000000000" w:firstRow="0" w:lastRow="0" w:firstColumn="1" w:lastColumn="0" w:oddVBand="0" w:evenVBand="0" w:oddHBand="0" w:evenHBand="0" w:firstRowFirstColumn="0" w:firstRowLastColumn="0" w:lastRowFirstColumn="0" w:lastRowLastColumn="0"/>
            <w:tcW w:w="0" w:type="auto"/>
          </w:tcPr>
          <w:p w14:paraId="4046FA94" w14:textId="020E8235" w:rsidR="005D2135" w:rsidRDefault="005D2135" w:rsidP="00676ED5">
            <w:pPr>
              <w:spacing w:before="0" w:after="0"/>
              <w:ind w:firstLine="0"/>
              <w:jc w:val="center"/>
            </w:pPr>
            <w:r>
              <w:t>HAL</w:t>
            </w:r>
          </w:p>
        </w:tc>
        <w:tc>
          <w:tcPr>
            <w:tcW w:w="0" w:type="auto"/>
          </w:tcPr>
          <w:p w14:paraId="7E07C778" w14:textId="57C59427" w:rsidR="005D2135" w:rsidRDefault="005D2135" w:rsidP="00676ED5">
            <w:pPr>
              <w:spacing w:before="0" w:after="0"/>
              <w:ind w:firstLine="0"/>
              <w:jc w:val="center"/>
              <w:cnfStyle w:val="000000000000" w:firstRow="0" w:lastRow="0" w:firstColumn="0" w:lastColumn="0" w:oddVBand="0" w:evenVBand="0" w:oddHBand="0" w:evenHBand="0" w:firstRowFirstColumn="0" w:firstRowLastColumn="0" w:lastRowFirstColumn="0" w:lastRowLastColumn="0"/>
            </w:pPr>
            <w:r>
              <w:t>2 422</w:t>
            </w:r>
          </w:p>
        </w:tc>
      </w:tr>
      <w:tr w:rsidR="005D2135" w14:paraId="135172F4" w14:textId="77777777" w:rsidTr="00676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EF2C28E" w14:textId="7C292068" w:rsidR="005D2135" w:rsidRPr="00CE5A5D" w:rsidRDefault="005D2135" w:rsidP="00676ED5">
            <w:pPr>
              <w:spacing w:before="0" w:after="0"/>
              <w:ind w:firstLine="0"/>
              <w:jc w:val="center"/>
            </w:pPr>
            <w:r w:rsidRPr="00CE5A5D">
              <w:t>Intersection</w:t>
            </w:r>
            <w:r w:rsidR="00676ED5" w:rsidRPr="00CE5A5D">
              <w:t xml:space="preserve"> de </w:t>
            </w:r>
            <w:r w:rsidR="00CE5A5D" w:rsidRPr="00CE5A5D">
              <w:t>WOS</w:t>
            </w:r>
            <w:r w:rsidR="00676ED5" w:rsidRPr="00CE5A5D">
              <w:t xml:space="preserve"> et HAL</w:t>
            </w:r>
          </w:p>
        </w:tc>
        <w:tc>
          <w:tcPr>
            <w:tcW w:w="0" w:type="auto"/>
          </w:tcPr>
          <w:p w14:paraId="721EBBF1" w14:textId="44A95E21" w:rsidR="005D2135" w:rsidRDefault="005D2135" w:rsidP="00676ED5">
            <w:pPr>
              <w:spacing w:before="0" w:after="0"/>
              <w:ind w:firstLine="0"/>
              <w:jc w:val="center"/>
              <w:cnfStyle w:val="000000100000" w:firstRow="0" w:lastRow="0" w:firstColumn="0" w:lastColumn="0" w:oddVBand="0" w:evenVBand="0" w:oddHBand="1" w:evenHBand="0" w:firstRowFirstColumn="0" w:firstRowLastColumn="0" w:lastRowFirstColumn="0" w:lastRowLastColumn="0"/>
            </w:pPr>
            <w:r>
              <w:t>2 187</w:t>
            </w:r>
          </w:p>
        </w:tc>
      </w:tr>
      <w:tr w:rsidR="005D2135" w14:paraId="42EEA333" w14:textId="77777777" w:rsidTr="00676ED5">
        <w:tc>
          <w:tcPr>
            <w:cnfStyle w:val="001000000000" w:firstRow="0" w:lastRow="0" w:firstColumn="1" w:lastColumn="0" w:oddVBand="0" w:evenVBand="0" w:oddHBand="0" w:evenHBand="0" w:firstRowFirstColumn="0" w:firstRowLastColumn="0" w:lastRowFirstColumn="0" w:lastRowLastColumn="0"/>
            <w:tcW w:w="0" w:type="auto"/>
          </w:tcPr>
          <w:p w14:paraId="36B3AE7E" w14:textId="60E2DA32" w:rsidR="005D2135" w:rsidRPr="00CE5A5D" w:rsidRDefault="005D2135" w:rsidP="00676ED5">
            <w:pPr>
              <w:spacing w:before="0" w:after="0"/>
              <w:ind w:firstLine="0"/>
              <w:jc w:val="center"/>
            </w:pPr>
            <w:r w:rsidRPr="00CE5A5D">
              <w:t>Union</w:t>
            </w:r>
            <w:r w:rsidR="00676ED5" w:rsidRPr="00CE5A5D">
              <w:t xml:space="preserve"> de W</w:t>
            </w:r>
            <w:r w:rsidR="00CE5A5D" w:rsidRPr="00CE5A5D">
              <w:t>OS</w:t>
            </w:r>
            <w:r w:rsidR="00676ED5" w:rsidRPr="00CE5A5D">
              <w:t xml:space="preserve"> et HAL</w:t>
            </w:r>
          </w:p>
        </w:tc>
        <w:tc>
          <w:tcPr>
            <w:tcW w:w="0" w:type="auto"/>
          </w:tcPr>
          <w:p w14:paraId="2639E5ED" w14:textId="1F202F39" w:rsidR="005D2135" w:rsidRDefault="005D2135" w:rsidP="00676ED5">
            <w:pPr>
              <w:spacing w:before="0" w:after="0"/>
              <w:ind w:firstLine="0"/>
              <w:jc w:val="center"/>
              <w:cnfStyle w:val="000000000000" w:firstRow="0" w:lastRow="0" w:firstColumn="0" w:lastColumn="0" w:oddVBand="0" w:evenVBand="0" w:oddHBand="0" w:evenHBand="0" w:firstRowFirstColumn="0" w:firstRowLastColumn="0" w:lastRowFirstColumn="0" w:lastRowLastColumn="0"/>
            </w:pPr>
            <w:r>
              <w:t>3 403</w:t>
            </w:r>
          </w:p>
        </w:tc>
      </w:tr>
      <w:tr w:rsidR="005D2135" w14:paraId="1DB7187C" w14:textId="77777777" w:rsidTr="00676E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F7BC09" w14:textId="25198B3D" w:rsidR="005D2135" w:rsidRDefault="00676ED5" w:rsidP="00676ED5">
            <w:pPr>
              <w:spacing w:before="0" w:after="0"/>
              <w:ind w:firstLine="0"/>
              <w:jc w:val="center"/>
            </w:pPr>
            <w:r>
              <w:t>Références d</w:t>
            </w:r>
            <w:r w:rsidR="005D2135">
              <w:t>ans WOS mais pas dans HAL</w:t>
            </w:r>
          </w:p>
        </w:tc>
        <w:tc>
          <w:tcPr>
            <w:tcW w:w="0" w:type="auto"/>
          </w:tcPr>
          <w:p w14:paraId="55F57D4F" w14:textId="73F9DE70" w:rsidR="005D2135" w:rsidRDefault="005D2135" w:rsidP="00676ED5">
            <w:pPr>
              <w:spacing w:before="0" w:after="0"/>
              <w:ind w:firstLine="0"/>
              <w:jc w:val="center"/>
              <w:cnfStyle w:val="000000100000" w:firstRow="0" w:lastRow="0" w:firstColumn="0" w:lastColumn="0" w:oddVBand="0" w:evenVBand="0" w:oddHBand="1" w:evenHBand="0" w:firstRowFirstColumn="0" w:firstRowLastColumn="0" w:lastRowFirstColumn="0" w:lastRowLastColumn="0"/>
            </w:pPr>
            <w:r>
              <w:t>981</w:t>
            </w:r>
          </w:p>
        </w:tc>
      </w:tr>
      <w:tr w:rsidR="005D2135" w14:paraId="11ACB56C" w14:textId="77777777" w:rsidTr="00676ED5">
        <w:tc>
          <w:tcPr>
            <w:cnfStyle w:val="001000000000" w:firstRow="0" w:lastRow="0" w:firstColumn="1" w:lastColumn="0" w:oddVBand="0" w:evenVBand="0" w:oddHBand="0" w:evenHBand="0" w:firstRowFirstColumn="0" w:firstRowLastColumn="0" w:lastRowFirstColumn="0" w:lastRowLastColumn="0"/>
            <w:tcW w:w="0" w:type="auto"/>
          </w:tcPr>
          <w:p w14:paraId="4A410E6A" w14:textId="2F3024D4" w:rsidR="005D2135" w:rsidRDefault="00676ED5" w:rsidP="00676ED5">
            <w:pPr>
              <w:spacing w:before="0" w:after="0"/>
              <w:ind w:firstLine="0"/>
              <w:jc w:val="center"/>
            </w:pPr>
            <w:r>
              <w:t>Références dans</w:t>
            </w:r>
            <w:r w:rsidR="005D2135">
              <w:t xml:space="preserve"> HAL mais pas dans WOS</w:t>
            </w:r>
          </w:p>
        </w:tc>
        <w:tc>
          <w:tcPr>
            <w:tcW w:w="0" w:type="auto"/>
          </w:tcPr>
          <w:p w14:paraId="3CD2C8FB" w14:textId="61AFE5C8" w:rsidR="005D2135" w:rsidRDefault="005D2135" w:rsidP="00676ED5">
            <w:pPr>
              <w:spacing w:before="0" w:after="0"/>
              <w:ind w:firstLine="0"/>
              <w:jc w:val="center"/>
              <w:cnfStyle w:val="000000000000" w:firstRow="0" w:lastRow="0" w:firstColumn="0" w:lastColumn="0" w:oddVBand="0" w:evenVBand="0" w:oddHBand="0" w:evenHBand="0" w:firstRowFirstColumn="0" w:firstRowLastColumn="0" w:lastRowFirstColumn="0" w:lastRowLastColumn="0"/>
            </w:pPr>
            <w:r>
              <w:t>235</w:t>
            </w:r>
          </w:p>
        </w:tc>
      </w:tr>
    </w:tbl>
    <w:p w14:paraId="5528996C" w14:textId="79EB055A" w:rsidR="005D2135" w:rsidRDefault="00676ED5" w:rsidP="00676ED5">
      <w:pPr>
        <w:pStyle w:val="Sourcenote"/>
      </w:pPr>
      <w:r>
        <w:t>Source : analyses de la Cour à partir des métadonnées brutes de « Web of Science » communiquées par l’ANR et comparées avec les données issues de HAL.</w:t>
      </w:r>
    </w:p>
    <w:p w14:paraId="78026575" w14:textId="160EA42C" w:rsidR="00D47A85" w:rsidRPr="00D47A85" w:rsidRDefault="00D47A85" w:rsidP="00281D85">
      <w:r>
        <w:t>Le tableau ci-dessous présente une analyse détaillée des données de « </w:t>
      </w:r>
      <w:r w:rsidRPr="0045004A">
        <w:rPr>
          <w:i/>
        </w:rPr>
        <w:t>Web of Science</w:t>
      </w:r>
      <w:r>
        <w:t> »</w:t>
      </w:r>
      <w:r w:rsidR="00516F8F">
        <w:t xml:space="preserve">. Les résultats indiquent </w:t>
      </w:r>
      <w:r>
        <w:t xml:space="preserve">que la relation d’ordre observée entre les trois groupes du GIEC pour </w:t>
      </w:r>
      <w:r w:rsidR="008B659D">
        <w:t xml:space="preserve">la France </w:t>
      </w:r>
      <w:r>
        <w:t xml:space="preserve">est parfaitement congruente avec </w:t>
      </w:r>
      <w:r w:rsidR="008B659D">
        <w:t xml:space="preserve">celle </w:t>
      </w:r>
      <w:r>
        <w:t>rapportée dans le ra</w:t>
      </w:r>
      <w:r w:rsidR="008B659D">
        <w:t>pport sur la base des</w:t>
      </w:r>
      <w:r>
        <w:t xml:space="preserve"> outils HAL et </w:t>
      </w:r>
      <w:r w:rsidRPr="00D47A85">
        <w:rPr>
          <w:i/>
        </w:rPr>
        <w:t>InCites</w:t>
      </w:r>
      <w:r>
        <w:t>.</w:t>
      </w:r>
    </w:p>
    <w:p w14:paraId="07D45BA4" w14:textId="2BA45A6E" w:rsidR="009A0633" w:rsidRPr="00281D85" w:rsidRDefault="009A0633" w:rsidP="00281D85">
      <w:pPr>
        <w:pStyle w:val="Titretableau"/>
      </w:pPr>
      <w:r w:rsidRPr="00281D85">
        <w:lastRenderedPageBreak/>
        <w:t xml:space="preserve">Tableau. Analyse de robustesse des résultats </w:t>
      </w:r>
      <w:r w:rsidR="00D47A85">
        <w:t xml:space="preserve">tirés de HAL </w:t>
      </w:r>
      <w:r w:rsidRPr="00281D85">
        <w:t>sur la base d’un jeu de données « Web of Science » communiqué par l’ANR.</w:t>
      </w:r>
    </w:p>
    <w:tbl>
      <w:tblPr>
        <w:tblStyle w:val="TABLEAURAPPORTPUBLICANNUEL"/>
        <w:tblW w:w="0" w:type="auto"/>
        <w:tblInd w:w="0" w:type="dxa"/>
        <w:tblLook w:val="04A0" w:firstRow="1" w:lastRow="0" w:firstColumn="1" w:lastColumn="0" w:noHBand="0" w:noVBand="1"/>
      </w:tblPr>
      <w:tblGrid>
        <w:gridCol w:w="2782"/>
        <w:gridCol w:w="1262"/>
        <w:gridCol w:w="1604"/>
        <w:gridCol w:w="1765"/>
        <w:gridCol w:w="1647"/>
      </w:tblGrid>
      <w:tr w:rsidR="00D47A85" w:rsidRPr="00A11517" w14:paraId="7A9FB5BE" w14:textId="77777777" w:rsidTr="009A063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8CC4A70" w14:textId="77777777" w:rsidR="009A0633" w:rsidRPr="0011136D" w:rsidRDefault="009A0633" w:rsidP="00281D85">
            <w:pPr>
              <w:pStyle w:val="TableauSchmaOrganigrammealignementgauche"/>
              <w:jc w:val="center"/>
            </w:pPr>
            <w:r w:rsidRPr="0011136D">
              <w:t>Groupes du GIEC considérés</w:t>
            </w:r>
          </w:p>
        </w:tc>
        <w:tc>
          <w:tcPr>
            <w:tcW w:w="0" w:type="auto"/>
            <w:vAlign w:val="top"/>
          </w:tcPr>
          <w:p w14:paraId="50509CCD" w14:textId="77777777" w:rsidR="009A0633" w:rsidRPr="0011136D" w:rsidRDefault="009A0633" w:rsidP="00281D85">
            <w:pPr>
              <w:pStyle w:val="TableauSchmaOrganigrammealignementgauche"/>
              <w:jc w:val="center"/>
              <w:cnfStyle w:val="100000000000" w:firstRow="1" w:lastRow="0" w:firstColumn="0" w:lastColumn="0" w:oddVBand="0" w:evenVBand="0" w:oddHBand="0" w:evenHBand="0" w:firstRowFirstColumn="0" w:firstRowLastColumn="0" w:lastRowFirstColumn="0" w:lastRowLastColumn="0"/>
            </w:pPr>
            <w:r w:rsidRPr="0011136D">
              <w:t>Ensemble des groupes du GIEC</w:t>
            </w:r>
          </w:p>
        </w:tc>
        <w:tc>
          <w:tcPr>
            <w:tcW w:w="0" w:type="auto"/>
            <w:vAlign w:val="top"/>
          </w:tcPr>
          <w:p w14:paraId="18611FE7" w14:textId="77777777" w:rsidR="001B41DF" w:rsidRDefault="009A0633" w:rsidP="00281D85">
            <w:pPr>
              <w:pStyle w:val="TableauSchmaOrganigrammealignementgauche"/>
              <w:jc w:val="center"/>
              <w:cnfStyle w:val="100000000000" w:firstRow="1" w:lastRow="0" w:firstColumn="0" w:lastColumn="0" w:oddVBand="0" w:evenVBand="0" w:oddHBand="0" w:evenHBand="0" w:firstRowFirstColumn="0" w:firstRowLastColumn="0" w:lastRowFirstColumn="0" w:lastRowLastColumn="0"/>
              <w:rPr>
                <w:b w:val="0"/>
              </w:rPr>
            </w:pPr>
            <w:r w:rsidRPr="0011136D">
              <w:t xml:space="preserve">Sciences du climat </w:t>
            </w:r>
          </w:p>
          <w:p w14:paraId="3F9C56E3" w14:textId="110C1A7E" w:rsidR="009A0633" w:rsidRPr="0011136D" w:rsidRDefault="009A0633" w:rsidP="00281D85">
            <w:pPr>
              <w:pStyle w:val="TableauSchmaOrganigrammealignementgauche"/>
              <w:jc w:val="center"/>
              <w:cnfStyle w:val="100000000000" w:firstRow="1" w:lastRow="0" w:firstColumn="0" w:lastColumn="0" w:oddVBand="0" w:evenVBand="0" w:oddHBand="0" w:evenHBand="0" w:firstRowFirstColumn="0" w:firstRowLastColumn="0" w:lastRowFirstColumn="0" w:lastRowLastColumn="0"/>
            </w:pPr>
            <w:r w:rsidRPr="0011136D">
              <w:t>(groupe 1)</w:t>
            </w:r>
          </w:p>
        </w:tc>
        <w:tc>
          <w:tcPr>
            <w:tcW w:w="0" w:type="auto"/>
            <w:vAlign w:val="top"/>
          </w:tcPr>
          <w:p w14:paraId="6BBE2A50" w14:textId="77777777" w:rsidR="009A0633" w:rsidRPr="0011136D" w:rsidRDefault="009A0633" w:rsidP="00281D85">
            <w:pPr>
              <w:pStyle w:val="TableauSchmaOrganigrammealignementgauche"/>
              <w:jc w:val="center"/>
              <w:cnfStyle w:val="100000000000" w:firstRow="1" w:lastRow="0" w:firstColumn="0" w:lastColumn="0" w:oddVBand="0" w:evenVBand="0" w:oddHBand="0" w:evenHBand="0" w:firstRowFirstColumn="0" w:firstRowLastColumn="0" w:lastRowFirstColumn="0" w:lastRowLastColumn="0"/>
            </w:pPr>
            <w:r w:rsidRPr="0011136D">
              <w:t>Risques, vulnérabilités et adaptation (groupe 2)</w:t>
            </w:r>
          </w:p>
        </w:tc>
        <w:tc>
          <w:tcPr>
            <w:tcW w:w="0" w:type="auto"/>
            <w:vAlign w:val="top"/>
          </w:tcPr>
          <w:p w14:paraId="796A35D2" w14:textId="77777777" w:rsidR="009A0633" w:rsidRPr="0011136D" w:rsidRDefault="009A0633" w:rsidP="00281D85">
            <w:pPr>
              <w:pStyle w:val="TableauSchmaOrganigrammealignementgauche"/>
              <w:jc w:val="center"/>
              <w:cnfStyle w:val="100000000000" w:firstRow="1" w:lastRow="0" w:firstColumn="0" w:lastColumn="0" w:oddVBand="0" w:evenVBand="0" w:oddHBand="0" w:evenHBand="0" w:firstRowFirstColumn="0" w:firstRowLastColumn="0" w:lastRowFirstColumn="0" w:lastRowLastColumn="0"/>
            </w:pPr>
            <w:r w:rsidRPr="0011136D">
              <w:t>Atténuation (groupe 3)</w:t>
            </w:r>
          </w:p>
        </w:tc>
      </w:tr>
      <w:tr w:rsidR="00D47A85" w:rsidRPr="00A11517" w14:paraId="7792181A" w14:textId="77777777" w:rsidTr="009A0633">
        <w:tc>
          <w:tcPr>
            <w:cnfStyle w:val="001000000000" w:firstRow="0" w:lastRow="0" w:firstColumn="1" w:lastColumn="0" w:oddVBand="0" w:evenVBand="0" w:oddHBand="0" w:evenHBand="0" w:firstRowFirstColumn="0" w:firstRowLastColumn="0" w:lastRowFirstColumn="0" w:lastRowLastColumn="0"/>
            <w:tcW w:w="0" w:type="auto"/>
            <w:vAlign w:val="top"/>
          </w:tcPr>
          <w:p w14:paraId="5C0C2EFC" w14:textId="77777777" w:rsidR="009A0633" w:rsidRPr="0011136D" w:rsidRDefault="009A0633" w:rsidP="00281D85">
            <w:pPr>
              <w:pStyle w:val="TableauSchmaOrganigrammealignementgauche"/>
              <w:jc w:val="center"/>
            </w:pPr>
            <w:r w:rsidRPr="0011136D">
              <w:t>Documents uniques cités par le GIEC</w:t>
            </w:r>
            <w:r>
              <w:t xml:space="preserve"> (analyse Cour) [G]</w:t>
            </w:r>
          </w:p>
        </w:tc>
        <w:tc>
          <w:tcPr>
            <w:tcW w:w="0" w:type="auto"/>
            <w:vAlign w:val="top"/>
          </w:tcPr>
          <w:p w14:paraId="5A736837"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1136D">
              <w:t>42 325</w:t>
            </w:r>
          </w:p>
        </w:tc>
        <w:tc>
          <w:tcPr>
            <w:tcW w:w="0" w:type="auto"/>
            <w:vAlign w:val="top"/>
          </w:tcPr>
          <w:p w14:paraId="1871EAB0"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1136D">
              <w:t>14 900</w:t>
            </w:r>
          </w:p>
        </w:tc>
        <w:tc>
          <w:tcPr>
            <w:tcW w:w="0" w:type="auto"/>
            <w:vAlign w:val="top"/>
          </w:tcPr>
          <w:p w14:paraId="65451A35"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1136D">
              <w:t>16 252</w:t>
            </w:r>
          </w:p>
        </w:tc>
        <w:tc>
          <w:tcPr>
            <w:tcW w:w="0" w:type="auto"/>
            <w:vAlign w:val="top"/>
          </w:tcPr>
          <w:p w14:paraId="270B4CE8"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1136D">
              <w:t>13 778</w:t>
            </w:r>
          </w:p>
        </w:tc>
      </w:tr>
      <w:tr w:rsidR="00D47A85" w:rsidRPr="00A11517" w14:paraId="47A4FF05" w14:textId="77777777" w:rsidTr="009A0633">
        <w:tc>
          <w:tcPr>
            <w:cnfStyle w:val="001000000000" w:firstRow="0" w:lastRow="0" w:firstColumn="1" w:lastColumn="0" w:oddVBand="0" w:evenVBand="0" w:oddHBand="0" w:evenHBand="0" w:firstRowFirstColumn="0" w:firstRowLastColumn="0" w:lastRowFirstColumn="0" w:lastRowLastColumn="0"/>
            <w:tcW w:w="0" w:type="auto"/>
            <w:vAlign w:val="top"/>
          </w:tcPr>
          <w:p w14:paraId="3AB383A6" w14:textId="77777777" w:rsidR="009A0633" w:rsidRPr="001E3423" w:rsidRDefault="009A0633" w:rsidP="00281D85">
            <w:pPr>
              <w:pStyle w:val="TableauSchmaOrganigrammealignementgauche"/>
              <w:jc w:val="center"/>
            </w:pPr>
            <w:r w:rsidRPr="0011136D">
              <w:t>Documents uniques cités par le GIEC</w:t>
            </w:r>
            <w:r w:rsidRPr="001E3423">
              <w:t xml:space="preserve"> et retrouvés par l’ANR dans Web of Science (WoS) (données ANR) [W</w:t>
            </w:r>
            <w:r w:rsidRPr="006B476F">
              <w:rPr>
                <w:rStyle w:val="CCOMPTESindice"/>
              </w:rPr>
              <w:t>tot</w:t>
            </w:r>
            <w:r w:rsidRPr="001E3423">
              <w:t>]</w:t>
            </w:r>
          </w:p>
        </w:tc>
        <w:tc>
          <w:tcPr>
            <w:tcW w:w="0" w:type="auto"/>
            <w:vAlign w:val="top"/>
          </w:tcPr>
          <w:p w14:paraId="13CE47DB"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6B476F">
              <w:t>36</w:t>
            </w:r>
            <w:r>
              <w:t> </w:t>
            </w:r>
            <w:r w:rsidRPr="006B476F">
              <w:t>121</w:t>
            </w:r>
          </w:p>
        </w:tc>
        <w:tc>
          <w:tcPr>
            <w:tcW w:w="0" w:type="auto"/>
            <w:vAlign w:val="top"/>
          </w:tcPr>
          <w:p w14:paraId="6BA75A26" w14:textId="510CC5E7" w:rsidR="009A0633" w:rsidRPr="001E3423"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N</w:t>
            </w:r>
            <w:r w:rsidRPr="001E3423">
              <w:t xml:space="preserve">on calculable </w:t>
            </w:r>
            <w:r w:rsidR="00D47A85">
              <w:t xml:space="preserve">de façon aisée </w:t>
            </w:r>
            <w:r w:rsidRPr="001E3423">
              <w:t>sans l</w:t>
            </w:r>
            <w:r w:rsidR="00D47A85">
              <w:t xml:space="preserve">’ensemble des </w:t>
            </w:r>
            <w:r w:rsidRPr="001E3423">
              <w:t>DOI</w:t>
            </w:r>
          </w:p>
        </w:tc>
        <w:tc>
          <w:tcPr>
            <w:tcW w:w="0" w:type="auto"/>
            <w:vAlign w:val="top"/>
          </w:tcPr>
          <w:p w14:paraId="0E3A497C" w14:textId="067A7CF7" w:rsidR="009A0633" w:rsidRPr="001E3423" w:rsidRDefault="00D47A85"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N</w:t>
            </w:r>
            <w:r w:rsidRPr="001E3423">
              <w:t xml:space="preserve">on calculable </w:t>
            </w:r>
            <w:r>
              <w:t xml:space="preserve">de façon aisée </w:t>
            </w:r>
            <w:r w:rsidRPr="001E3423">
              <w:t>sans l</w:t>
            </w:r>
            <w:r>
              <w:t xml:space="preserve">’ensemble des </w:t>
            </w:r>
            <w:r w:rsidRPr="001E3423">
              <w:t>DOI</w:t>
            </w:r>
          </w:p>
        </w:tc>
        <w:tc>
          <w:tcPr>
            <w:tcW w:w="0" w:type="auto"/>
            <w:vAlign w:val="top"/>
          </w:tcPr>
          <w:p w14:paraId="6D21E041" w14:textId="17E280A7" w:rsidR="009A0633" w:rsidRPr="001E3423" w:rsidRDefault="00D47A85"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N</w:t>
            </w:r>
            <w:r w:rsidRPr="001E3423">
              <w:t xml:space="preserve">on calculable </w:t>
            </w:r>
            <w:r>
              <w:t xml:space="preserve">de façon aisée </w:t>
            </w:r>
            <w:r w:rsidRPr="001E3423">
              <w:t>sans l</w:t>
            </w:r>
            <w:r>
              <w:t xml:space="preserve">’ensemble des </w:t>
            </w:r>
            <w:r w:rsidRPr="001E3423">
              <w:t>DOI</w:t>
            </w:r>
          </w:p>
        </w:tc>
      </w:tr>
      <w:tr w:rsidR="00D47A85" w:rsidRPr="00A11517" w14:paraId="4271422D" w14:textId="77777777" w:rsidTr="009A0633">
        <w:tc>
          <w:tcPr>
            <w:cnfStyle w:val="001000000000" w:firstRow="0" w:lastRow="0" w:firstColumn="1" w:lastColumn="0" w:oddVBand="0" w:evenVBand="0" w:oddHBand="0" w:evenHBand="0" w:firstRowFirstColumn="0" w:firstRowLastColumn="0" w:lastRowFirstColumn="0" w:lastRowLastColumn="0"/>
            <w:tcW w:w="0" w:type="auto"/>
            <w:vAlign w:val="top"/>
          </w:tcPr>
          <w:p w14:paraId="1FD841C1" w14:textId="77777777" w:rsidR="009A0633" w:rsidRPr="001E3423" w:rsidRDefault="009A0633" w:rsidP="00281D85">
            <w:pPr>
              <w:pStyle w:val="TableauSchmaOrganigrammealignementgauche"/>
              <w:jc w:val="center"/>
            </w:pPr>
            <w:r w:rsidRPr="0011136D">
              <w:t>Documents uniques cités par le GIEC</w:t>
            </w:r>
            <w:r w:rsidRPr="001E3423">
              <w:t xml:space="preserve"> et retrouvés par l’ANR dans Web of Science (WoS) avec un identifiant « DOI » </w:t>
            </w:r>
            <w:r>
              <w:t xml:space="preserve">unique </w:t>
            </w:r>
            <w:r w:rsidRPr="001E3423">
              <w:t>(données ANR retraitées par la Cour) [W</w:t>
            </w:r>
            <w:r w:rsidRPr="006B476F">
              <w:rPr>
                <w:rStyle w:val="CCOMPTESindice"/>
              </w:rPr>
              <w:t>doi</w:t>
            </w:r>
            <w:r w:rsidRPr="001E3423">
              <w:t>]</w:t>
            </w:r>
          </w:p>
        </w:tc>
        <w:tc>
          <w:tcPr>
            <w:tcW w:w="0" w:type="auto"/>
            <w:vAlign w:val="top"/>
          </w:tcPr>
          <w:p w14:paraId="465F41E9" w14:textId="77777777" w:rsidR="009A0633" w:rsidRPr="001E3423"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1136D">
              <w:t>33</w:t>
            </w:r>
            <w:r w:rsidRPr="001E3423">
              <w:t> 891</w:t>
            </w:r>
          </w:p>
        </w:tc>
        <w:tc>
          <w:tcPr>
            <w:tcW w:w="0" w:type="auto"/>
            <w:vAlign w:val="top"/>
          </w:tcPr>
          <w:p w14:paraId="4F705558" w14:textId="77777777" w:rsidR="009A0633" w:rsidRPr="001E3423"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F7B97">
              <w:t>12</w:t>
            </w:r>
            <w:r>
              <w:t> </w:t>
            </w:r>
            <w:r w:rsidRPr="001F7B97">
              <w:t>190</w:t>
            </w:r>
          </w:p>
        </w:tc>
        <w:tc>
          <w:tcPr>
            <w:tcW w:w="0" w:type="auto"/>
            <w:vAlign w:val="top"/>
          </w:tcPr>
          <w:p w14:paraId="2386F8AC" w14:textId="77777777" w:rsidR="009A0633" w:rsidRPr="001E3423"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7E014D">
              <w:t>14</w:t>
            </w:r>
            <w:r>
              <w:t> </w:t>
            </w:r>
            <w:r w:rsidRPr="007E014D">
              <w:t>169</w:t>
            </w:r>
          </w:p>
        </w:tc>
        <w:tc>
          <w:tcPr>
            <w:tcW w:w="0" w:type="auto"/>
            <w:vAlign w:val="top"/>
          </w:tcPr>
          <w:p w14:paraId="0BFEA0F3" w14:textId="77777777" w:rsidR="009A0633" w:rsidRPr="001E3423"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2F29AB">
              <w:t>9</w:t>
            </w:r>
            <w:r>
              <w:t> </w:t>
            </w:r>
            <w:r w:rsidRPr="002F29AB">
              <w:t>859</w:t>
            </w:r>
          </w:p>
        </w:tc>
      </w:tr>
      <w:tr w:rsidR="00D47A85" w:rsidRPr="00A11517" w14:paraId="6A1C2934" w14:textId="77777777" w:rsidTr="009A0633">
        <w:tc>
          <w:tcPr>
            <w:cnfStyle w:val="001000000000" w:firstRow="0" w:lastRow="0" w:firstColumn="1" w:lastColumn="0" w:oddVBand="0" w:evenVBand="0" w:oddHBand="0" w:evenHBand="0" w:firstRowFirstColumn="0" w:firstRowLastColumn="0" w:lastRowFirstColumn="0" w:lastRowLastColumn="0"/>
            <w:tcW w:w="0" w:type="auto"/>
            <w:vAlign w:val="top"/>
          </w:tcPr>
          <w:p w14:paraId="0E047F29" w14:textId="16BA8622" w:rsidR="009A0633" w:rsidRPr="001E3423" w:rsidRDefault="009A0633" w:rsidP="00281D85">
            <w:pPr>
              <w:pStyle w:val="TableauSchmaOrganigrammealignementgauche"/>
              <w:jc w:val="center"/>
            </w:pPr>
            <w:r>
              <w:t>P</w:t>
            </w:r>
            <w:r w:rsidRPr="001E3423">
              <w:t xml:space="preserve">art des documents retrouvés dans WoS avec un DOI </w:t>
            </w:r>
            <w:r w:rsidR="00D47A85">
              <w:br/>
            </w:r>
            <w:r w:rsidRPr="001E3423">
              <w:t>[G/W</w:t>
            </w:r>
            <w:r w:rsidRPr="006B476F">
              <w:rPr>
                <w:rStyle w:val="CCOMPTESindice"/>
              </w:rPr>
              <w:t>doi</w:t>
            </w:r>
            <w:r w:rsidRPr="001E3423">
              <w:t>]</w:t>
            </w:r>
          </w:p>
        </w:tc>
        <w:tc>
          <w:tcPr>
            <w:tcW w:w="0" w:type="auto"/>
            <w:vAlign w:val="top"/>
          </w:tcPr>
          <w:p w14:paraId="5D8EEDF5" w14:textId="77777777" w:rsidR="009A0633" w:rsidRPr="001E3423"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8</w:t>
            </w:r>
            <w:r w:rsidRPr="001E3423">
              <w:t>0,0 %</w:t>
            </w:r>
          </w:p>
        </w:tc>
        <w:tc>
          <w:tcPr>
            <w:tcW w:w="0" w:type="auto"/>
            <w:vAlign w:val="top"/>
          </w:tcPr>
          <w:p w14:paraId="4F4BB455" w14:textId="78488C5E" w:rsidR="009A0633" w:rsidRPr="0011136D" w:rsidRDefault="00281D85"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81,8 %</w:t>
            </w:r>
          </w:p>
        </w:tc>
        <w:tc>
          <w:tcPr>
            <w:tcW w:w="0" w:type="auto"/>
            <w:vAlign w:val="top"/>
          </w:tcPr>
          <w:p w14:paraId="26520309" w14:textId="0FB529CC" w:rsidR="009A0633" w:rsidRPr="0011136D" w:rsidRDefault="00281D85"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87,1 %</w:t>
            </w:r>
          </w:p>
        </w:tc>
        <w:tc>
          <w:tcPr>
            <w:tcW w:w="0" w:type="auto"/>
            <w:vAlign w:val="top"/>
          </w:tcPr>
          <w:p w14:paraId="334B4829" w14:textId="375C2BA0" w:rsidR="009A0633" w:rsidRPr="0011136D" w:rsidRDefault="00281D85"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71,6 %</w:t>
            </w:r>
          </w:p>
        </w:tc>
      </w:tr>
      <w:tr w:rsidR="00D47A85" w:rsidRPr="00A11517" w14:paraId="356455B4" w14:textId="77777777" w:rsidTr="009A0633">
        <w:tc>
          <w:tcPr>
            <w:cnfStyle w:val="001000000000" w:firstRow="0" w:lastRow="0" w:firstColumn="1" w:lastColumn="0" w:oddVBand="0" w:evenVBand="0" w:oddHBand="0" w:evenHBand="0" w:firstRowFirstColumn="0" w:firstRowLastColumn="0" w:lastRowFirstColumn="0" w:lastRowLastColumn="0"/>
            <w:tcW w:w="0" w:type="auto"/>
            <w:vAlign w:val="top"/>
          </w:tcPr>
          <w:p w14:paraId="5565A7B3" w14:textId="6CEA1E15" w:rsidR="009A0633" w:rsidRPr="001E3423" w:rsidRDefault="00D47A85" w:rsidP="00281D85">
            <w:pPr>
              <w:pStyle w:val="TableauSchmaOrganigrammealignementgauche"/>
              <w:jc w:val="center"/>
            </w:pPr>
            <w:r>
              <w:t>N</w:t>
            </w:r>
            <w:r w:rsidR="009A0633" w:rsidRPr="001E3423">
              <w:t xml:space="preserve">ombre de documents impliquant au moins un auteur affilé à une structure de recherche française (données ANR retraitées par la Cour) </w:t>
            </w:r>
            <w:r>
              <w:br/>
            </w:r>
            <w:r w:rsidR="009A0633" w:rsidRPr="001E3423">
              <w:t>[</w:t>
            </w:r>
            <w:r w:rsidR="009A0633">
              <w:t>F</w:t>
            </w:r>
            <w:r w:rsidR="009A0633" w:rsidRPr="006B476F">
              <w:rPr>
                <w:rStyle w:val="CCOMPTESindice"/>
              </w:rPr>
              <w:t>d</w:t>
            </w:r>
            <w:r w:rsidR="009A0633" w:rsidRPr="001F7B97">
              <w:rPr>
                <w:rStyle w:val="CCOMPTESindice"/>
              </w:rPr>
              <w:t>oi</w:t>
            </w:r>
            <w:r w:rsidR="009A0633">
              <w:t xml:space="preserve"> tiré de </w:t>
            </w:r>
            <w:r w:rsidR="009A0633" w:rsidRPr="001E3423">
              <w:t>W</w:t>
            </w:r>
            <w:r w:rsidR="009A0633" w:rsidRPr="001F7B97">
              <w:rPr>
                <w:rStyle w:val="CCOMPTESindice"/>
              </w:rPr>
              <w:t>doi</w:t>
            </w:r>
            <w:r w:rsidR="009A0633" w:rsidRPr="001E3423">
              <w:t>]</w:t>
            </w:r>
          </w:p>
        </w:tc>
        <w:tc>
          <w:tcPr>
            <w:tcW w:w="0" w:type="auto"/>
            <w:vAlign w:val="top"/>
          </w:tcPr>
          <w:p w14:paraId="37DF68E0"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4C7BB7">
              <w:t>3</w:t>
            </w:r>
            <w:r>
              <w:t> </w:t>
            </w:r>
            <w:r w:rsidRPr="004C7BB7">
              <w:t>168</w:t>
            </w:r>
          </w:p>
        </w:tc>
        <w:tc>
          <w:tcPr>
            <w:tcW w:w="0" w:type="auto"/>
            <w:vAlign w:val="top"/>
          </w:tcPr>
          <w:p w14:paraId="10C733F7"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B700D2">
              <w:t>1</w:t>
            </w:r>
            <w:r>
              <w:t> </w:t>
            </w:r>
            <w:r w:rsidRPr="00B700D2">
              <w:t>712</w:t>
            </w:r>
          </w:p>
        </w:tc>
        <w:tc>
          <w:tcPr>
            <w:tcW w:w="0" w:type="auto"/>
            <w:vAlign w:val="top"/>
          </w:tcPr>
          <w:p w14:paraId="4521555C"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B700D2">
              <w:t>1</w:t>
            </w:r>
            <w:r>
              <w:t> </w:t>
            </w:r>
            <w:r w:rsidRPr="00B700D2">
              <w:t>191</w:t>
            </w:r>
          </w:p>
        </w:tc>
        <w:tc>
          <w:tcPr>
            <w:tcW w:w="0" w:type="auto"/>
            <w:vAlign w:val="top"/>
          </w:tcPr>
          <w:p w14:paraId="2AD480F7"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590</w:t>
            </w:r>
          </w:p>
        </w:tc>
      </w:tr>
      <w:tr w:rsidR="00D47A85" w:rsidRPr="00A11517" w14:paraId="67FDFB49" w14:textId="77777777" w:rsidTr="009A0633">
        <w:tc>
          <w:tcPr>
            <w:cnfStyle w:val="001000000000" w:firstRow="0" w:lastRow="0" w:firstColumn="1" w:lastColumn="0" w:oddVBand="0" w:evenVBand="0" w:oddHBand="0" w:evenHBand="0" w:firstRowFirstColumn="0" w:firstRowLastColumn="0" w:lastRowFirstColumn="0" w:lastRowLastColumn="0"/>
            <w:tcW w:w="0" w:type="auto"/>
            <w:vAlign w:val="top"/>
          </w:tcPr>
          <w:p w14:paraId="6538A94A" w14:textId="77777777" w:rsidR="009A0633" w:rsidRPr="001E3423" w:rsidRDefault="009A0633" w:rsidP="00281D85">
            <w:pPr>
              <w:pStyle w:val="TableauSchmaOrganigrammealignementgauche"/>
              <w:jc w:val="center"/>
            </w:pPr>
            <w:r w:rsidRPr="0011136D">
              <w:t>Poids estimé de la France dans les citations du GIEC</w:t>
            </w:r>
            <w:r w:rsidRPr="001E3423">
              <w:t xml:space="preserve"> [F</w:t>
            </w:r>
            <w:r w:rsidRPr="001F7B97">
              <w:rPr>
                <w:rStyle w:val="CCOMPTESindice"/>
              </w:rPr>
              <w:t>doi</w:t>
            </w:r>
            <w:r w:rsidRPr="001E3423">
              <w:t>/W</w:t>
            </w:r>
            <w:r w:rsidRPr="001F7B97">
              <w:rPr>
                <w:rStyle w:val="CCOMPTESindice"/>
              </w:rPr>
              <w:t>doi</w:t>
            </w:r>
            <w:r w:rsidRPr="001E3423">
              <w:t>]</w:t>
            </w:r>
          </w:p>
        </w:tc>
        <w:tc>
          <w:tcPr>
            <w:tcW w:w="0" w:type="auto"/>
            <w:vAlign w:val="top"/>
          </w:tcPr>
          <w:p w14:paraId="49C35FFD"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9,3 %</w:t>
            </w:r>
          </w:p>
        </w:tc>
        <w:tc>
          <w:tcPr>
            <w:tcW w:w="0" w:type="auto"/>
            <w:vAlign w:val="top"/>
          </w:tcPr>
          <w:p w14:paraId="67463A29"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14,0 %</w:t>
            </w:r>
          </w:p>
        </w:tc>
        <w:tc>
          <w:tcPr>
            <w:tcW w:w="0" w:type="auto"/>
            <w:vAlign w:val="top"/>
          </w:tcPr>
          <w:p w14:paraId="0C321B27"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8,4 %</w:t>
            </w:r>
          </w:p>
        </w:tc>
        <w:tc>
          <w:tcPr>
            <w:tcW w:w="0" w:type="auto"/>
            <w:vAlign w:val="top"/>
          </w:tcPr>
          <w:p w14:paraId="79485BFD" w14:textId="77777777" w:rsidR="009A0633" w:rsidRPr="0011136D" w:rsidRDefault="009A0633"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6,0 %</w:t>
            </w:r>
          </w:p>
        </w:tc>
      </w:tr>
      <w:tr w:rsidR="00D47A85" w:rsidRPr="00A11517" w14:paraId="2772B08F" w14:textId="77777777" w:rsidTr="009A0633">
        <w:tc>
          <w:tcPr>
            <w:cnfStyle w:val="001000000000" w:firstRow="0" w:lastRow="0" w:firstColumn="1" w:lastColumn="0" w:oddVBand="0" w:evenVBand="0" w:oddHBand="0" w:evenHBand="0" w:firstRowFirstColumn="0" w:firstRowLastColumn="0" w:lastRowFirstColumn="0" w:lastRowLastColumn="0"/>
            <w:tcW w:w="0" w:type="auto"/>
            <w:vAlign w:val="top"/>
          </w:tcPr>
          <w:p w14:paraId="159DFB76" w14:textId="77777777" w:rsidR="009A0633" w:rsidRPr="001E3423" w:rsidRDefault="009A0633" w:rsidP="00281D85">
            <w:pPr>
              <w:pStyle w:val="TableauSchmaOrganigrammealignementgauche"/>
              <w:jc w:val="center"/>
            </w:pPr>
            <w:r w:rsidRPr="0011136D">
              <w:t xml:space="preserve">Rang mondial de la France </w:t>
            </w:r>
            <w:r w:rsidRPr="001E3423">
              <w:t xml:space="preserve">déduit </w:t>
            </w:r>
            <w:r>
              <w:t xml:space="preserve">des données </w:t>
            </w:r>
            <w:r w:rsidRPr="001E3423">
              <w:t xml:space="preserve">Web of Science de l’ANR </w:t>
            </w:r>
            <w:r>
              <w:t>en ne comptant chaque pays qu’une fois par document (analyse Cour)</w:t>
            </w:r>
          </w:p>
        </w:tc>
        <w:tc>
          <w:tcPr>
            <w:tcW w:w="0" w:type="auto"/>
            <w:vAlign w:val="top"/>
          </w:tcPr>
          <w:p w14:paraId="68C48C78" w14:textId="56385649" w:rsidR="009A0633" w:rsidRPr="001E3423" w:rsidRDefault="00D027BD"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Sixième</w:t>
            </w:r>
            <w:r w:rsidR="009A0633" w:rsidRPr="001E3423">
              <w:rPr>
                <w:rStyle w:val="Appelnotedebasdep"/>
              </w:rPr>
              <w:footnoteReference w:id="20"/>
            </w:r>
          </w:p>
        </w:tc>
        <w:tc>
          <w:tcPr>
            <w:tcW w:w="0" w:type="auto"/>
            <w:vAlign w:val="top"/>
          </w:tcPr>
          <w:p w14:paraId="574DD70C" w14:textId="081C238B" w:rsidR="009A0633" w:rsidRPr="001E3423" w:rsidRDefault="008471B0"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Quatrième</w:t>
            </w:r>
            <w:r w:rsidR="009A0633" w:rsidRPr="001E3423">
              <w:rPr>
                <w:rStyle w:val="Appelnotedebasdep"/>
              </w:rPr>
              <w:footnoteReference w:id="21"/>
            </w:r>
          </w:p>
        </w:tc>
        <w:tc>
          <w:tcPr>
            <w:tcW w:w="0" w:type="auto"/>
            <w:vAlign w:val="top"/>
          </w:tcPr>
          <w:p w14:paraId="603FC013" w14:textId="5C09F7C7" w:rsidR="009A0633" w:rsidRPr="001E3423" w:rsidRDefault="008E3169"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Septième</w:t>
            </w:r>
            <w:r w:rsidR="009A0633" w:rsidRPr="001E3423">
              <w:rPr>
                <w:rStyle w:val="Appelnotedebasdep"/>
              </w:rPr>
              <w:footnoteReference w:id="22"/>
            </w:r>
          </w:p>
        </w:tc>
        <w:tc>
          <w:tcPr>
            <w:tcW w:w="0" w:type="auto"/>
            <w:vAlign w:val="top"/>
          </w:tcPr>
          <w:p w14:paraId="08B87525" w14:textId="057366E9" w:rsidR="009A0633" w:rsidRPr="001E3423" w:rsidRDefault="008E3169" w:rsidP="00281D85">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Onzième</w:t>
            </w:r>
            <w:r w:rsidR="009A0633" w:rsidRPr="001E3423">
              <w:rPr>
                <w:rStyle w:val="Appelnotedebasdep"/>
              </w:rPr>
              <w:footnoteReference w:id="23"/>
            </w:r>
          </w:p>
        </w:tc>
      </w:tr>
    </w:tbl>
    <w:p w14:paraId="75EC268D" w14:textId="748BF600" w:rsidR="009A0633" w:rsidRDefault="001308A3" w:rsidP="00D47A85">
      <w:pPr>
        <w:pStyle w:val="Sourcenote"/>
      </w:pPr>
      <w:r>
        <w:t>Source</w:t>
      </w:r>
      <w:r w:rsidR="00D47A85">
        <w:t> : analyses de la Cour à partir des métadonnées brutes de « Web of Science » communiquées par l’ANR.</w:t>
      </w:r>
    </w:p>
    <w:p w14:paraId="146FCC69" w14:textId="2C3EB615" w:rsidR="00D3031C" w:rsidRDefault="00C40531" w:rsidP="005D2135">
      <w:r>
        <w:t>Enfin, l</w:t>
      </w:r>
      <w:r w:rsidR="005D2135">
        <w:t>a figure ci-dessous indique que HAL et Web of Science donnent des résultats parfaitement congruents y compris au grain très fin des 67 chapitres du GIEC</w:t>
      </w:r>
      <w:r w:rsidR="00676ED5">
        <w:t xml:space="preserve">. </w:t>
      </w:r>
      <w:r w:rsidR="005F21B8">
        <w:t xml:space="preserve">Il </w:t>
      </w:r>
      <w:r>
        <w:t xml:space="preserve">n’y a </w:t>
      </w:r>
      <w:r w:rsidR="005F21B8">
        <w:t xml:space="preserve">donc </w:t>
      </w:r>
      <w:r>
        <w:t xml:space="preserve">pas de biais particulier associé à </w:t>
      </w:r>
      <w:r w:rsidR="00422C60">
        <w:t xml:space="preserve">l’emploi de </w:t>
      </w:r>
      <w:r>
        <w:t xml:space="preserve">l’un </w:t>
      </w:r>
      <w:r w:rsidR="00422C60">
        <w:t xml:space="preserve">ou l’autre </w:t>
      </w:r>
      <w:r>
        <w:t xml:space="preserve">des deux outils pour ce qui concerne </w:t>
      </w:r>
      <w:r w:rsidR="005F21B8">
        <w:t>les</w:t>
      </w:r>
      <w:r w:rsidR="00422C60" w:rsidRPr="00422C60">
        <w:t xml:space="preserve"> </w:t>
      </w:r>
      <w:r w:rsidR="00422C60">
        <w:t>thématiques scientifiques,</w:t>
      </w:r>
      <w:r w:rsidR="005F21B8">
        <w:t xml:space="preserve"> secteurs, et territoires traités dans les chapitres détaillés d</w:t>
      </w:r>
      <w:r w:rsidR="00422C60">
        <w:t xml:space="preserve">es trois rapports détaillés du </w:t>
      </w:r>
      <w:r w:rsidR="005F21B8">
        <w:t>GIEC.</w:t>
      </w:r>
    </w:p>
    <w:p w14:paraId="709FF6F9" w14:textId="7970E04C" w:rsidR="005D2135" w:rsidRDefault="0014303D" w:rsidP="00676ED5">
      <w:pPr>
        <w:pStyle w:val="Titregraphique"/>
        <w:rPr>
          <w:rFonts w:eastAsiaTheme="majorEastAsia"/>
        </w:rPr>
      </w:pPr>
      <w:r>
        <w:rPr>
          <w:noProof/>
        </w:rPr>
        <w:lastRenderedPageBreak/>
        <w:drawing>
          <wp:anchor distT="0" distB="0" distL="114300" distR="114300" simplePos="0" relativeHeight="251658240" behindDoc="0" locked="0" layoutInCell="1" allowOverlap="1" wp14:anchorId="6E28CDE1" wp14:editId="675A6B25">
            <wp:simplePos x="0" y="0"/>
            <wp:positionH relativeFrom="column">
              <wp:posOffset>258321</wp:posOffset>
            </wp:positionH>
            <wp:positionV relativeFrom="paragraph">
              <wp:posOffset>420692</wp:posOffset>
            </wp:positionV>
            <wp:extent cx="4815840" cy="3728720"/>
            <wp:effectExtent l="0" t="0" r="3810" b="5080"/>
            <wp:wrapTopAndBottom/>
            <wp:docPr id="1" name="Graphique 1">
              <a:extLst xmlns:a="http://schemas.openxmlformats.org/drawingml/2006/main">
                <a:ext uri="{FF2B5EF4-FFF2-40B4-BE49-F238E27FC236}">
                  <a16:creationId xmlns:a16="http://schemas.microsoft.com/office/drawing/2014/main" id="{1542D8CF-7452-417B-928C-3B1147ABB7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00676ED5">
        <w:rPr>
          <w:rFonts w:eastAsiaTheme="majorEastAsia"/>
        </w:rPr>
        <w:t xml:space="preserve"> Analyse de concordance entre HAL et Web of Science </w:t>
      </w:r>
      <w:r w:rsidR="00DE0766">
        <w:rPr>
          <w:rFonts w:eastAsiaTheme="majorEastAsia"/>
        </w:rPr>
        <w:t xml:space="preserve">(France) </w:t>
      </w:r>
      <w:r w:rsidR="00676ED5">
        <w:rPr>
          <w:rFonts w:eastAsiaTheme="majorEastAsia"/>
        </w:rPr>
        <w:t>au grain de l’ensemble des chapitres des trois rapports principaux du GIEC (6</w:t>
      </w:r>
      <w:r w:rsidR="00676ED5" w:rsidRPr="00676ED5">
        <w:rPr>
          <w:rFonts w:eastAsiaTheme="majorEastAsia"/>
          <w:vertAlign w:val="superscript"/>
        </w:rPr>
        <w:t>e</w:t>
      </w:r>
      <w:r w:rsidR="00676ED5">
        <w:rPr>
          <w:rFonts w:eastAsiaTheme="majorEastAsia"/>
        </w:rPr>
        <w:t xml:space="preserve"> cycle).</w:t>
      </w:r>
    </w:p>
    <w:p w14:paraId="39395501" w14:textId="68496F26" w:rsidR="005D2135" w:rsidRPr="005D2135" w:rsidRDefault="005D2135" w:rsidP="0014303D">
      <w:pPr>
        <w:pStyle w:val="Sourcenote"/>
      </w:pPr>
      <w:r>
        <w:t xml:space="preserve">Source : analyses de la Cour à partir des métadonnées brutes de « Web of Science » communiquées par l’ANR et comparées avec les données issues de HAL. La relation linéaire est donnée par HAL = 0,78 WoS. Le coefficient de corrélation de Pearson entre </w:t>
      </w:r>
      <w:r w:rsidR="0014303D">
        <w:t>les deux variables</w:t>
      </w:r>
      <w:r>
        <w:t xml:space="preserve"> est de 98,6 % avec une p-valeur négligeable.</w:t>
      </w:r>
    </w:p>
    <w:p w14:paraId="08FEDD78" w14:textId="77777777" w:rsidR="004E3064" w:rsidRDefault="004E3064">
      <w:pPr>
        <w:spacing w:before="0" w:after="200" w:line="276" w:lineRule="auto"/>
        <w:ind w:firstLine="0"/>
        <w:jc w:val="left"/>
        <w:rPr>
          <w:rFonts w:eastAsiaTheme="majorEastAsia" w:cstheme="majorBidi"/>
          <w:b/>
          <w:bCs/>
          <w:sz w:val="30"/>
          <w:szCs w:val="28"/>
        </w:rPr>
      </w:pPr>
      <w:r>
        <w:br w:type="page"/>
      </w:r>
    </w:p>
    <w:p w14:paraId="0B3E5EDF" w14:textId="49606697" w:rsidR="00902529" w:rsidRDefault="00902529" w:rsidP="000F2B93">
      <w:pPr>
        <w:pStyle w:val="Titre1"/>
        <w:jc w:val="center"/>
      </w:pPr>
      <w:bookmarkStart w:id="24" w:name="_Toc160528287"/>
      <w:r>
        <w:lastRenderedPageBreak/>
        <w:t>Analyses de positionnement</w:t>
      </w:r>
      <w:r w:rsidR="00684107">
        <w:t xml:space="preserve"> des travaux français</w:t>
      </w:r>
      <w:bookmarkEnd w:id="24"/>
    </w:p>
    <w:p w14:paraId="4E9FEA13" w14:textId="28B56098" w:rsidR="004842C0" w:rsidRPr="004842C0" w:rsidRDefault="004842C0" w:rsidP="004842C0">
      <w:pPr>
        <w:rPr>
          <w:u w:val="single"/>
        </w:rPr>
      </w:pPr>
      <w:r w:rsidRPr="004842C0">
        <w:rPr>
          <w:u w:val="single"/>
        </w:rPr>
        <w:t>La place des travaux français dans les trois groupes du GIEC</w:t>
      </w:r>
    </w:p>
    <w:p w14:paraId="0B1DAA76" w14:textId="77777777" w:rsidR="00902529" w:rsidRDefault="00902529" w:rsidP="00902529">
      <w:pPr>
        <w:pStyle w:val="Titretableau"/>
        <w:spacing w:before="400"/>
      </w:pPr>
      <w:r>
        <w:t> </w:t>
      </w:r>
      <w:r w:rsidRPr="004820C5">
        <w:t xml:space="preserve">Poids scientifique de la France sur la scène internationale dans le domaine de la recherche pour l’adaptation d’après </w:t>
      </w:r>
      <w:r>
        <w:t>trois</w:t>
      </w:r>
      <w:r w:rsidRPr="004820C5">
        <w:t xml:space="preserve"> méthodes complémentaires.</w:t>
      </w:r>
    </w:p>
    <w:tbl>
      <w:tblPr>
        <w:tblStyle w:val="TABLEAURAPPORTPUBLICANNUEL"/>
        <w:tblW w:w="0" w:type="auto"/>
        <w:tblInd w:w="-737" w:type="dxa"/>
        <w:tblLook w:val="04A0" w:firstRow="1" w:lastRow="0" w:firstColumn="1" w:lastColumn="0" w:noHBand="0" w:noVBand="1"/>
      </w:tblPr>
      <w:tblGrid>
        <w:gridCol w:w="1853"/>
        <w:gridCol w:w="1829"/>
        <w:gridCol w:w="1680"/>
        <w:gridCol w:w="2130"/>
        <w:gridCol w:w="2305"/>
      </w:tblGrid>
      <w:tr w:rsidR="00902529" w:rsidRPr="008F29C2" w14:paraId="3B2C1E52"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C212ACA" w14:textId="77777777" w:rsidR="00902529" w:rsidRPr="008F29C2" w:rsidRDefault="00902529" w:rsidP="00F30544">
            <w:pPr>
              <w:pStyle w:val="TableauSchmaOrganigrammecentr"/>
              <w:rPr>
                <w:sz w:val="20"/>
              </w:rPr>
            </w:pPr>
            <w:r w:rsidRPr="008F29C2">
              <w:rPr>
                <w:sz w:val="20"/>
              </w:rPr>
              <w:t>Groupes du GIEC considérés</w:t>
            </w:r>
          </w:p>
        </w:tc>
        <w:tc>
          <w:tcPr>
            <w:tcW w:w="0" w:type="auto"/>
            <w:vAlign w:val="top"/>
          </w:tcPr>
          <w:p w14:paraId="6F734A84" w14:textId="77777777" w:rsidR="00902529" w:rsidRPr="008F29C2"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rPr>
                <w:sz w:val="20"/>
              </w:rPr>
            </w:pPr>
            <w:r w:rsidRPr="008F29C2">
              <w:rPr>
                <w:sz w:val="20"/>
              </w:rPr>
              <w:t>Ensemble des groupes du GIEC</w:t>
            </w:r>
          </w:p>
        </w:tc>
        <w:tc>
          <w:tcPr>
            <w:tcW w:w="0" w:type="auto"/>
            <w:vAlign w:val="top"/>
          </w:tcPr>
          <w:p w14:paraId="34FEA091" w14:textId="77777777" w:rsidR="00902529" w:rsidRPr="008F29C2"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rPr>
                <w:sz w:val="20"/>
              </w:rPr>
            </w:pPr>
            <w:r w:rsidRPr="008F29C2">
              <w:rPr>
                <w:sz w:val="20"/>
              </w:rPr>
              <w:t>Sciences du climat (groupe 1)</w:t>
            </w:r>
          </w:p>
        </w:tc>
        <w:tc>
          <w:tcPr>
            <w:tcW w:w="0" w:type="auto"/>
            <w:vAlign w:val="top"/>
          </w:tcPr>
          <w:p w14:paraId="2762A2D5" w14:textId="77777777" w:rsidR="00902529" w:rsidRPr="008F29C2"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rPr>
                <w:sz w:val="20"/>
              </w:rPr>
            </w:pPr>
            <w:r w:rsidRPr="008F29C2">
              <w:rPr>
                <w:sz w:val="20"/>
              </w:rPr>
              <w:t>Risques, vulnérabilités et adaptation (groupe 2)</w:t>
            </w:r>
          </w:p>
        </w:tc>
        <w:tc>
          <w:tcPr>
            <w:tcW w:w="0" w:type="auto"/>
            <w:vAlign w:val="top"/>
          </w:tcPr>
          <w:p w14:paraId="0E0D9C26" w14:textId="77777777" w:rsidR="00902529" w:rsidRPr="008F29C2"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rPr>
                <w:sz w:val="20"/>
              </w:rPr>
            </w:pPr>
            <w:r w:rsidRPr="008F29C2">
              <w:rPr>
                <w:sz w:val="20"/>
              </w:rPr>
              <w:t>Atténuation (groupe 3)</w:t>
            </w:r>
          </w:p>
        </w:tc>
      </w:tr>
      <w:tr w:rsidR="00902529" w:rsidRPr="008F29C2" w14:paraId="43ADD327"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2693F254" w14:textId="77777777" w:rsidR="00902529" w:rsidRPr="008F29C2" w:rsidRDefault="00902529" w:rsidP="00F30544">
            <w:pPr>
              <w:pStyle w:val="TableauSchmaOrganigrammecentr"/>
              <w:rPr>
                <w:sz w:val="20"/>
              </w:rPr>
            </w:pPr>
            <w:r w:rsidRPr="008F29C2">
              <w:rPr>
                <w:sz w:val="20"/>
              </w:rPr>
              <w:t>Documents uniques cités par le GIEC</w:t>
            </w:r>
            <w:r w:rsidRPr="005C04EE">
              <w:t xml:space="preserve"> [T]</w:t>
            </w:r>
          </w:p>
        </w:tc>
        <w:tc>
          <w:tcPr>
            <w:tcW w:w="0" w:type="auto"/>
            <w:vAlign w:val="top"/>
          </w:tcPr>
          <w:p w14:paraId="14C43F62"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42 325</w:t>
            </w:r>
          </w:p>
        </w:tc>
        <w:tc>
          <w:tcPr>
            <w:tcW w:w="0" w:type="auto"/>
            <w:vAlign w:val="top"/>
          </w:tcPr>
          <w:p w14:paraId="47C0554A"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14 900</w:t>
            </w:r>
          </w:p>
        </w:tc>
        <w:tc>
          <w:tcPr>
            <w:tcW w:w="0" w:type="auto"/>
            <w:vAlign w:val="top"/>
          </w:tcPr>
          <w:p w14:paraId="3894C4AF"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16 252</w:t>
            </w:r>
          </w:p>
        </w:tc>
        <w:tc>
          <w:tcPr>
            <w:tcW w:w="0" w:type="auto"/>
            <w:vAlign w:val="top"/>
          </w:tcPr>
          <w:p w14:paraId="3E4A4E62"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13 778</w:t>
            </w:r>
          </w:p>
        </w:tc>
      </w:tr>
      <w:tr w:rsidR="00902529" w:rsidRPr="008F29C2" w14:paraId="590FE127"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7E8A58EE" w14:textId="77777777" w:rsidR="00902529" w:rsidRPr="008F29C2" w:rsidRDefault="00902529" w:rsidP="00F30544">
            <w:pPr>
              <w:pStyle w:val="TableauSchmaOrganigrammecentr"/>
              <w:rPr>
                <w:sz w:val="20"/>
              </w:rPr>
            </w:pPr>
            <w:r w:rsidRPr="005C04EE">
              <w:t>Totaux des documents retrouvés dans HAL [H]</w:t>
            </w:r>
          </w:p>
        </w:tc>
        <w:tc>
          <w:tcPr>
            <w:tcW w:w="0" w:type="auto"/>
            <w:vAlign w:val="top"/>
          </w:tcPr>
          <w:p w14:paraId="1C829388"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2 513</w:t>
            </w:r>
          </w:p>
        </w:tc>
        <w:tc>
          <w:tcPr>
            <w:tcW w:w="0" w:type="auto"/>
            <w:vAlign w:val="top"/>
          </w:tcPr>
          <w:p w14:paraId="58627FA1"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1 438</w:t>
            </w:r>
          </w:p>
        </w:tc>
        <w:tc>
          <w:tcPr>
            <w:tcW w:w="0" w:type="auto"/>
            <w:vAlign w:val="top"/>
          </w:tcPr>
          <w:p w14:paraId="55C7184E"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941</w:t>
            </w:r>
          </w:p>
        </w:tc>
        <w:tc>
          <w:tcPr>
            <w:tcW w:w="0" w:type="auto"/>
            <w:vAlign w:val="top"/>
          </w:tcPr>
          <w:p w14:paraId="51FC59DA"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417</w:t>
            </w:r>
          </w:p>
        </w:tc>
      </w:tr>
      <w:tr w:rsidR="00902529" w:rsidRPr="008F29C2" w14:paraId="5EE6F1CC"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13D70A8" w14:textId="77777777" w:rsidR="00902529" w:rsidRPr="008F29C2" w:rsidRDefault="00902529" w:rsidP="00F30544">
            <w:pPr>
              <w:pStyle w:val="TableauSchmaOrganigrammecentr"/>
              <w:rPr>
                <w:sz w:val="20"/>
              </w:rPr>
            </w:pPr>
            <w:r w:rsidRPr="005C04EE">
              <w:t>Totaux des documents retrouvés dans HAL avec au moins une structure française citée [F]</w:t>
            </w:r>
          </w:p>
        </w:tc>
        <w:tc>
          <w:tcPr>
            <w:tcW w:w="0" w:type="auto"/>
            <w:vAlign w:val="top"/>
          </w:tcPr>
          <w:p w14:paraId="3D17AE8E"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2 422</w:t>
            </w:r>
          </w:p>
        </w:tc>
        <w:tc>
          <w:tcPr>
            <w:tcW w:w="0" w:type="auto"/>
            <w:vAlign w:val="top"/>
          </w:tcPr>
          <w:p w14:paraId="5090490A"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1 407</w:t>
            </w:r>
          </w:p>
        </w:tc>
        <w:tc>
          <w:tcPr>
            <w:tcW w:w="0" w:type="auto"/>
            <w:vAlign w:val="top"/>
          </w:tcPr>
          <w:p w14:paraId="4A4EDB1A"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891</w:t>
            </w:r>
          </w:p>
        </w:tc>
        <w:tc>
          <w:tcPr>
            <w:tcW w:w="0" w:type="auto"/>
            <w:vAlign w:val="top"/>
          </w:tcPr>
          <w:p w14:paraId="4E383F73"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5C04EE">
              <w:t>394</w:t>
            </w:r>
          </w:p>
        </w:tc>
      </w:tr>
      <w:tr w:rsidR="00902529" w:rsidRPr="008F29C2" w14:paraId="6C17619E"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CD702D6" w14:textId="77777777" w:rsidR="00902529" w:rsidRPr="008F29C2" w:rsidRDefault="00902529" w:rsidP="00F30544">
            <w:pPr>
              <w:pStyle w:val="TableauSchmaOrganigrammecentr"/>
              <w:rPr>
                <w:sz w:val="20"/>
              </w:rPr>
            </w:pPr>
            <w:r w:rsidRPr="008F29C2">
              <w:rPr>
                <w:sz w:val="20"/>
              </w:rPr>
              <w:t>Poids estimé de la France dans les citations du GIEC (Cour d’après Hal)</w:t>
            </w:r>
          </w:p>
        </w:tc>
        <w:tc>
          <w:tcPr>
            <w:tcW w:w="0" w:type="auto"/>
            <w:vAlign w:val="top"/>
          </w:tcPr>
          <w:p w14:paraId="3F94C2E1"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5,7 %</w:t>
            </w:r>
          </w:p>
        </w:tc>
        <w:tc>
          <w:tcPr>
            <w:tcW w:w="0" w:type="auto"/>
            <w:vAlign w:val="top"/>
          </w:tcPr>
          <w:p w14:paraId="4905043C"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9,4 %</w:t>
            </w:r>
          </w:p>
        </w:tc>
        <w:tc>
          <w:tcPr>
            <w:tcW w:w="0" w:type="auto"/>
            <w:vAlign w:val="top"/>
          </w:tcPr>
          <w:p w14:paraId="60804B1C"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5,5 %</w:t>
            </w:r>
          </w:p>
        </w:tc>
        <w:tc>
          <w:tcPr>
            <w:tcW w:w="0" w:type="auto"/>
            <w:vAlign w:val="top"/>
          </w:tcPr>
          <w:p w14:paraId="34CE5ECB"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2,9 %</w:t>
            </w:r>
          </w:p>
        </w:tc>
      </w:tr>
      <w:tr w:rsidR="00902529" w:rsidRPr="008F29C2" w14:paraId="434D6CB8"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808DC5D" w14:textId="77777777" w:rsidR="00902529" w:rsidRPr="008F29C2" w:rsidRDefault="00902529" w:rsidP="00F30544">
            <w:pPr>
              <w:pStyle w:val="TableauSchmaOrganigrammecentr"/>
              <w:rPr>
                <w:sz w:val="20"/>
              </w:rPr>
            </w:pPr>
            <w:r w:rsidRPr="008F29C2">
              <w:rPr>
                <w:sz w:val="20"/>
              </w:rPr>
              <w:t>Poids de la France déduit de l’outil InCites (Cour)</w:t>
            </w:r>
          </w:p>
        </w:tc>
        <w:tc>
          <w:tcPr>
            <w:tcW w:w="0" w:type="auto"/>
            <w:vAlign w:val="top"/>
          </w:tcPr>
          <w:p w14:paraId="66FAC043"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8,6 %</w:t>
            </w:r>
          </w:p>
        </w:tc>
        <w:tc>
          <w:tcPr>
            <w:tcW w:w="0" w:type="auto"/>
            <w:vAlign w:val="top"/>
          </w:tcPr>
          <w:p w14:paraId="3CAEBA6F"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10,0 %</w:t>
            </w:r>
          </w:p>
        </w:tc>
        <w:tc>
          <w:tcPr>
            <w:tcW w:w="0" w:type="auto"/>
            <w:vAlign w:val="top"/>
          </w:tcPr>
          <w:p w14:paraId="163303FA"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5,8 %</w:t>
            </w:r>
          </w:p>
        </w:tc>
        <w:tc>
          <w:tcPr>
            <w:tcW w:w="0" w:type="auto"/>
            <w:vAlign w:val="top"/>
          </w:tcPr>
          <w:p w14:paraId="3E2C4485"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3,2 %</w:t>
            </w:r>
          </w:p>
        </w:tc>
      </w:tr>
      <w:tr w:rsidR="00902529" w:rsidRPr="008F29C2" w14:paraId="095A0856"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0C50B6D9" w14:textId="77777777" w:rsidR="00902529" w:rsidRPr="008F29C2" w:rsidRDefault="00902529" w:rsidP="00F30544">
            <w:pPr>
              <w:pStyle w:val="TableauSchmaOrganigrammecentr"/>
              <w:rPr>
                <w:sz w:val="20"/>
              </w:rPr>
            </w:pPr>
            <w:r w:rsidRPr="008F29C2">
              <w:rPr>
                <w:sz w:val="20"/>
              </w:rPr>
              <w:t>Poids de la France déduit de l’outil « Web of Science » (Cour à partir des données de l’ANR)</w:t>
            </w:r>
          </w:p>
        </w:tc>
        <w:tc>
          <w:tcPr>
            <w:tcW w:w="0" w:type="auto"/>
            <w:vAlign w:val="top"/>
          </w:tcPr>
          <w:p w14:paraId="0F835ACF"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9,3 %</w:t>
            </w:r>
          </w:p>
        </w:tc>
        <w:tc>
          <w:tcPr>
            <w:tcW w:w="0" w:type="auto"/>
            <w:vAlign w:val="top"/>
          </w:tcPr>
          <w:p w14:paraId="3D3F5E9D"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14,0 %</w:t>
            </w:r>
          </w:p>
        </w:tc>
        <w:tc>
          <w:tcPr>
            <w:tcW w:w="0" w:type="auto"/>
            <w:vAlign w:val="top"/>
          </w:tcPr>
          <w:p w14:paraId="431D7557"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8,4 %</w:t>
            </w:r>
          </w:p>
        </w:tc>
        <w:tc>
          <w:tcPr>
            <w:tcW w:w="0" w:type="auto"/>
            <w:vAlign w:val="top"/>
          </w:tcPr>
          <w:p w14:paraId="5C2B6F4F"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6,0 %</w:t>
            </w:r>
          </w:p>
        </w:tc>
      </w:tr>
      <w:tr w:rsidR="00902529" w:rsidRPr="008F29C2" w14:paraId="4C5F8A9B"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DFE8E87" w14:textId="77777777" w:rsidR="00902529" w:rsidRPr="008F29C2" w:rsidRDefault="00902529" w:rsidP="00F30544">
            <w:pPr>
              <w:pStyle w:val="TableauSchmaOrganigrammecentr"/>
              <w:rPr>
                <w:sz w:val="20"/>
              </w:rPr>
            </w:pPr>
            <w:r w:rsidRPr="008F29C2">
              <w:rPr>
                <w:sz w:val="20"/>
              </w:rPr>
              <w:t>Rang mondial de la France déduit de l’outil InCites (Cour)</w:t>
            </w:r>
          </w:p>
        </w:tc>
        <w:tc>
          <w:tcPr>
            <w:tcW w:w="0" w:type="auto"/>
            <w:vAlign w:val="top"/>
          </w:tcPr>
          <w:p w14:paraId="09AEAF3B"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Cinquième </w:t>
            </w:r>
            <w:r w:rsidRPr="008F29C2">
              <w:rPr>
                <w:sz w:val="20"/>
              </w:rPr>
              <w:br/>
              <w:t>derrière les Etats-Unis, la Chine, le Royaume-Uni et l’Allemagne</w:t>
            </w:r>
          </w:p>
        </w:tc>
        <w:tc>
          <w:tcPr>
            <w:tcW w:w="0" w:type="auto"/>
            <w:vAlign w:val="top"/>
          </w:tcPr>
          <w:p w14:paraId="0D852A47"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Cinquième </w:t>
            </w:r>
            <w:r w:rsidRPr="008F29C2">
              <w:rPr>
                <w:sz w:val="20"/>
              </w:rPr>
              <w:br/>
              <w:t>derrière les Etats-Unis, la Chine, le Royaume-Uni et l’Allemagne</w:t>
            </w:r>
          </w:p>
        </w:tc>
        <w:tc>
          <w:tcPr>
            <w:tcW w:w="0" w:type="auto"/>
            <w:vAlign w:val="top"/>
          </w:tcPr>
          <w:p w14:paraId="48B38FFA"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Huitième </w:t>
            </w:r>
            <w:r w:rsidRPr="008F29C2">
              <w:rPr>
                <w:sz w:val="20"/>
              </w:rPr>
              <w:br/>
              <w:t>derrière les Etats-Unis, la Chine, le Royaume-Uni, l’Allemagne, l’Espagne, l’Australie et le Canada</w:t>
            </w:r>
          </w:p>
        </w:tc>
        <w:tc>
          <w:tcPr>
            <w:tcW w:w="0" w:type="auto"/>
            <w:vAlign w:val="top"/>
          </w:tcPr>
          <w:p w14:paraId="2BA74DC7"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Dixième </w:t>
            </w:r>
            <w:r w:rsidRPr="008F29C2">
              <w:rPr>
                <w:sz w:val="20"/>
              </w:rPr>
              <w:br/>
              <w:t>derrière la Chine, les Etats-Unis, le Royaume-Uni, l’Allemagne, le Canada, l’Espagne, l’Australie, l’Italie et l’Inde</w:t>
            </w:r>
          </w:p>
        </w:tc>
      </w:tr>
      <w:tr w:rsidR="00902529" w:rsidRPr="008F29C2" w14:paraId="074E11E4"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085548CF" w14:textId="77777777" w:rsidR="00902529" w:rsidRPr="008F29C2" w:rsidRDefault="00902529" w:rsidP="00F30544">
            <w:pPr>
              <w:pStyle w:val="TableauSchmaOrganigrammecentr"/>
              <w:rPr>
                <w:sz w:val="20"/>
              </w:rPr>
            </w:pPr>
            <w:r w:rsidRPr="008F29C2">
              <w:rPr>
                <w:sz w:val="20"/>
              </w:rPr>
              <w:t>Rang mondial de la France déduit de « Web of Science » (Cour à partir des données de l’ANR)</w:t>
            </w:r>
          </w:p>
        </w:tc>
        <w:tc>
          <w:tcPr>
            <w:tcW w:w="0" w:type="auto"/>
            <w:vAlign w:val="top"/>
          </w:tcPr>
          <w:p w14:paraId="4AD6E146"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Sixième </w:t>
            </w:r>
            <w:r w:rsidRPr="008F29C2">
              <w:rPr>
                <w:sz w:val="20"/>
              </w:rPr>
              <w:br/>
              <w:t>derrière les Etats-Unis, le Royaume-Uni, l’Allemagne, l’Australie et la Chine</w:t>
            </w:r>
          </w:p>
        </w:tc>
        <w:tc>
          <w:tcPr>
            <w:tcW w:w="0" w:type="auto"/>
            <w:vAlign w:val="top"/>
          </w:tcPr>
          <w:p w14:paraId="308D1D7C"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Quatrième </w:t>
            </w:r>
            <w:r w:rsidRPr="008F29C2">
              <w:rPr>
                <w:sz w:val="20"/>
              </w:rPr>
              <w:br/>
              <w:t>derrière les Etats-Unis, le Royaume-Uni et l’Allemagne</w:t>
            </w:r>
          </w:p>
        </w:tc>
        <w:tc>
          <w:tcPr>
            <w:tcW w:w="0" w:type="auto"/>
            <w:vAlign w:val="top"/>
          </w:tcPr>
          <w:p w14:paraId="30B0FCD5"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Septième </w:t>
            </w:r>
            <w:r w:rsidRPr="008F29C2">
              <w:rPr>
                <w:sz w:val="20"/>
              </w:rPr>
              <w:br/>
              <w:t>derrière les Etats-Unis, le Royaume-Uni, l’Australie, l’Allemagne, le Canada et les Pays-Bas</w:t>
            </w:r>
          </w:p>
        </w:tc>
        <w:tc>
          <w:tcPr>
            <w:tcW w:w="0" w:type="auto"/>
            <w:vAlign w:val="top"/>
          </w:tcPr>
          <w:p w14:paraId="10E0489B" w14:textId="77777777" w:rsidR="00902529" w:rsidRPr="008F29C2"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rPr>
                <w:sz w:val="20"/>
              </w:rPr>
            </w:pPr>
            <w:r w:rsidRPr="008F29C2">
              <w:rPr>
                <w:sz w:val="20"/>
              </w:rPr>
              <w:t xml:space="preserve">Onzième </w:t>
            </w:r>
            <w:r w:rsidRPr="008F29C2">
              <w:rPr>
                <w:sz w:val="20"/>
              </w:rPr>
              <w:br/>
              <w:t>derrière les Etats-Unis, le Royaume-Uni, l’Allemagne, les Pays-Bas, la Chine, l’Australie, le Canada, la Suède, l’Italie et l’Autriche</w:t>
            </w:r>
          </w:p>
        </w:tc>
      </w:tr>
    </w:tbl>
    <w:p w14:paraId="5911186A" w14:textId="77777777" w:rsidR="00902529" w:rsidRDefault="00902529" w:rsidP="00902529">
      <w:pPr>
        <w:pStyle w:val="TexteSource"/>
        <w:rPr>
          <w:lang w:val="en-US"/>
        </w:rPr>
      </w:pPr>
      <w:r>
        <w:t>Source :</w:t>
      </w:r>
      <w:r w:rsidRPr="004820C5">
        <w:t xml:space="preserve"> analyses Cour des comptes</w:t>
      </w:r>
      <w:r>
        <w:t xml:space="preserve"> d’après trois méthodes complémentaires </w:t>
      </w:r>
      <w:r w:rsidRPr="00B10C9C">
        <w:t>pour la période 1999 à 2021 qui concentre l’essentiel des citations des rapports du dernier cycle du GIEC</w:t>
      </w:r>
      <w:r>
        <w:t xml:space="preserve">. </w:t>
      </w:r>
      <w:r w:rsidRPr="008F29C2">
        <w:t xml:space="preserve">Cette période regroupe 98 % des citations du GIEC pour le monde entier. </w:t>
      </w:r>
      <w:r w:rsidRPr="001E44EB">
        <w:t xml:space="preserve">D’après InCites, tous journaux scientifiques confondus, la France se situe au </w:t>
      </w:r>
      <w:r>
        <w:t xml:space="preserve">sixième </w:t>
      </w:r>
      <w:r w:rsidRPr="001E44EB">
        <w:t xml:space="preserve">rang mondial sur cette </w:t>
      </w:r>
      <w:r>
        <w:t xml:space="preserve">même </w:t>
      </w:r>
      <w:r w:rsidRPr="001E44EB">
        <w:t>période et représente 4,5 % des publications mondiales.</w:t>
      </w:r>
      <w:r>
        <w:t xml:space="preserve"> </w:t>
      </w:r>
      <w:r w:rsidRPr="00902529">
        <w:rPr>
          <w:lang w:val="en-US"/>
        </w:rPr>
        <w:t>Données InCites datées d’avril 2023 (“dataset updated Apr 28, 2023. Includes Web of Science content indexed through Mar 31, 2023”).</w:t>
      </w:r>
    </w:p>
    <w:p w14:paraId="7FE28A5F" w14:textId="77777777" w:rsidR="00902529" w:rsidRDefault="00902529" w:rsidP="00902529">
      <w:pPr>
        <w:pStyle w:val="Titretableau"/>
        <w:spacing w:before="400"/>
      </w:pPr>
      <w:r w:rsidRPr="002F0660">
        <w:lastRenderedPageBreak/>
        <w:t>Estimation de l’évolution de la production scientifique (en %) ainsi que du rang de la France (en places) d’après des données indirectes fondées sur les journaux scientifiques particulièrement cités par le GIEC.</w:t>
      </w:r>
    </w:p>
    <w:tbl>
      <w:tblPr>
        <w:tblStyle w:val="TABLEAURAPPORTPUBLICANNUEL"/>
        <w:tblW w:w="0" w:type="auto"/>
        <w:tblLook w:val="04A0" w:firstRow="1" w:lastRow="0" w:firstColumn="1" w:lastColumn="0" w:noHBand="0" w:noVBand="1"/>
      </w:tblPr>
      <w:tblGrid>
        <w:gridCol w:w="2106"/>
        <w:gridCol w:w="1163"/>
        <w:gridCol w:w="1129"/>
        <w:gridCol w:w="1249"/>
        <w:gridCol w:w="1098"/>
        <w:gridCol w:w="1007"/>
        <w:gridCol w:w="1195"/>
      </w:tblGrid>
      <w:tr w:rsidR="00902529" w14:paraId="6261DDE4"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E365FC" w14:textId="77777777" w:rsidR="00902529" w:rsidRPr="002F0660" w:rsidRDefault="00902529" w:rsidP="00F30544">
            <w:pPr>
              <w:pStyle w:val="TableauSchmaOrganigrammealignementgauche"/>
            </w:pPr>
          </w:p>
        </w:tc>
        <w:tc>
          <w:tcPr>
            <w:tcW w:w="0" w:type="auto"/>
            <w:gridSpan w:val="2"/>
            <w:vAlign w:val="top"/>
          </w:tcPr>
          <w:p w14:paraId="1ECC379C" w14:textId="77777777" w:rsidR="00902529" w:rsidRPr="002F0660"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2F0660">
              <w:t>Production de 1999 à 2010 (rang de la France)</w:t>
            </w:r>
          </w:p>
        </w:tc>
        <w:tc>
          <w:tcPr>
            <w:tcW w:w="0" w:type="auto"/>
            <w:gridSpan w:val="2"/>
            <w:vAlign w:val="top"/>
          </w:tcPr>
          <w:p w14:paraId="1B7E24F4" w14:textId="77777777" w:rsidR="00902529" w:rsidRPr="002F0660"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2F0660">
              <w:t>Production de 2011 à 2021 (rang de la France)</w:t>
            </w:r>
          </w:p>
        </w:tc>
        <w:tc>
          <w:tcPr>
            <w:tcW w:w="0" w:type="auto"/>
            <w:gridSpan w:val="2"/>
            <w:vAlign w:val="top"/>
          </w:tcPr>
          <w:p w14:paraId="515C70D8" w14:textId="77777777" w:rsidR="00902529" w:rsidRPr="002F0660"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2F0660">
              <w:t xml:space="preserve">Évolution en % </w:t>
            </w:r>
            <w:r>
              <w:t>(</w:t>
            </w:r>
            <w:r w:rsidRPr="002F0660">
              <w:t>en places pour la France)</w:t>
            </w:r>
          </w:p>
        </w:tc>
      </w:tr>
      <w:tr w:rsidR="00902529" w14:paraId="03AC7FF4"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5F8A6259" w14:textId="77777777" w:rsidR="00902529" w:rsidRDefault="00902529" w:rsidP="00F30544">
            <w:pPr>
              <w:pStyle w:val="TableauSchmaOrganigrammealignementgauche"/>
            </w:pPr>
          </w:p>
        </w:tc>
        <w:tc>
          <w:tcPr>
            <w:tcW w:w="0" w:type="auto"/>
          </w:tcPr>
          <w:p w14:paraId="5AEBC719"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Monde</w:t>
            </w:r>
          </w:p>
        </w:tc>
        <w:tc>
          <w:tcPr>
            <w:tcW w:w="0" w:type="auto"/>
          </w:tcPr>
          <w:p w14:paraId="2241F0F6"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France</w:t>
            </w:r>
          </w:p>
        </w:tc>
        <w:tc>
          <w:tcPr>
            <w:tcW w:w="0" w:type="auto"/>
          </w:tcPr>
          <w:p w14:paraId="56C5CFE7"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Monde</w:t>
            </w:r>
          </w:p>
        </w:tc>
        <w:tc>
          <w:tcPr>
            <w:tcW w:w="0" w:type="auto"/>
          </w:tcPr>
          <w:p w14:paraId="7DC5B625"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France</w:t>
            </w:r>
          </w:p>
        </w:tc>
        <w:tc>
          <w:tcPr>
            <w:tcW w:w="0" w:type="auto"/>
          </w:tcPr>
          <w:p w14:paraId="24E9927E"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Monde</w:t>
            </w:r>
          </w:p>
        </w:tc>
        <w:tc>
          <w:tcPr>
            <w:tcW w:w="0" w:type="auto"/>
          </w:tcPr>
          <w:p w14:paraId="2FA5B8BA"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France</w:t>
            </w:r>
          </w:p>
        </w:tc>
      </w:tr>
      <w:tr w:rsidR="00902529" w14:paraId="76CF490B"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0BB578F4" w14:textId="77777777" w:rsidR="00902529" w:rsidRPr="002F0660" w:rsidRDefault="00902529" w:rsidP="00F30544">
            <w:pPr>
              <w:pStyle w:val="TableauSchmaOrganigrammealignementgauche"/>
            </w:pPr>
            <w:r>
              <w:t>Ensemble des groupes du GIEC</w:t>
            </w:r>
          </w:p>
        </w:tc>
        <w:tc>
          <w:tcPr>
            <w:tcW w:w="0" w:type="auto"/>
            <w:vAlign w:val="top"/>
          </w:tcPr>
          <w:p w14:paraId="4BEDDCCA"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41 762</w:t>
            </w:r>
          </w:p>
        </w:tc>
        <w:tc>
          <w:tcPr>
            <w:tcW w:w="0" w:type="auto"/>
            <w:vAlign w:val="top"/>
          </w:tcPr>
          <w:p w14:paraId="7F3C1B67"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3</w:t>
            </w:r>
            <w:r w:rsidRPr="002F0660">
              <w:t xml:space="preserve"> 721 </w:t>
            </w:r>
            <w:r w:rsidRPr="002F0660">
              <w:br/>
              <w:t>(4e)</w:t>
            </w:r>
          </w:p>
        </w:tc>
        <w:tc>
          <w:tcPr>
            <w:tcW w:w="0" w:type="auto"/>
            <w:vAlign w:val="top"/>
          </w:tcPr>
          <w:p w14:paraId="3FF43F72"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67 717</w:t>
            </w:r>
          </w:p>
        </w:tc>
        <w:tc>
          <w:tcPr>
            <w:tcW w:w="0" w:type="auto"/>
            <w:vAlign w:val="top"/>
          </w:tcPr>
          <w:p w14:paraId="1832CA2A"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5</w:t>
            </w:r>
            <w:r w:rsidRPr="002F0660">
              <w:t xml:space="preserve"> 708 </w:t>
            </w:r>
            <w:r w:rsidRPr="002F0660">
              <w:br/>
              <w:t>(5e)</w:t>
            </w:r>
          </w:p>
        </w:tc>
        <w:tc>
          <w:tcPr>
            <w:tcW w:w="0" w:type="auto"/>
            <w:vAlign w:val="top"/>
          </w:tcPr>
          <w:p w14:paraId="6F826740"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62 %</w:t>
            </w:r>
          </w:p>
        </w:tc>
        <w:tc>
          <w:tcPr>
            <w:tcW w:w="0" w:type="auto"/>
            <w:vAlign w:val="top"/>
          </w:tcPr>
          <w:p w14:paraId="78BFF2B7"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53 %</w:t>
            </w:r>
            <w:r w:rsidRPr="002F0660">
              <w:br/>
              <w:t>(- 1 place)</w:t>
            </w:r>
          </w:p>
        </w:tc>
      </w:tr>
      <w:tr w:rsidR="00902529" w14:paraId="5F83FE5B"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093220DD" w14:textId="77777777" w:rsidR="00902529" w:rsidRPr="002F0660" w:rsidRDefault="00902529" w:rsidP="00F30544">
            <w:pPr>
              <w:pStyle w:val="TableauSchmaOrganigrammealignementgauche"/>
            </w:pPr>
            <w:r>
              <w:t>Sciences du climat (groupe 1)</w:t>
            </w:r>
          </w:p>
        </w:tc>
        <w:tc>
          <w:tcPr>
            <w:tcW w:w="0" w:type="auto"/>
            <w:vAlign w:val="top"/>
          </w:tcPr>
          <w:p w14:paraId="6323671F"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38 096</w:t>
            </w:r>
          </w:p>
        </w:tc>
        <w:tc>
          <w:tcPr>
            <w:tcW w:w="0" w:type="auto"/>
            <w:vAlign w:val="top"/>
          </w:tcPr>
          <w:p w14:paraId="6037E9E0"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3</w:t>
            </w:r>
            <w:r w:rsidRPr="002F0660">
              <w:t xml:space="preserve"> 630 </w:t>
            </w:r>
            <w:r w:rsidRPr="002F0660">
              <w:br/>
              <w:t>(4e)</w:t>
            </w:r>
          </w:p>
        </w:tc>
        <w:tc>
          <w:tcPr>
            <w:tcW w:w="0" w:type="auto"/>
            <w:vAlign w:val="top"/>
          </w:tcPr>
          <w:p w14:paraId="5C141981"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57 018</w:t>
            </w:r>
          </w:p>
        </w:tc>
        <w:tc>
          <w:tcPr>
            <w:tcW w:w="0" w:type="auto"/>
            <w:vAlign w:val="top"/>
          </w:tcPr>
          <w:p w14:paraId="0A234F9F"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5</w:t>
            </w:r>
            <w:r w:rsidRPr="002F0660">
              <w:t xml:space="preserve"> 933 </w:t>
            </w:r>
            <w:r w:rsidRPr="002F0660">
              <w:br/>
              <w:t>(5e)</w:t>
            </w:r>
          </w:p>
        </w:tc>
        <w:tc>
          <w:tcPr>
            <w:tcW w:w="0" w:type="auto"/>
            <w:vAlign w:val="top"/>
          </w:tcPr>
          <w:p w14:paraId="07B22D81"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50 %</w:t>
            </w:r>
          </w:p>
        </w:tc>
        <w:tc>
          <w:tcPr>
            <w:tcW w:w="0" w:type="auto"/>
            <w:vAlign w:val="top"/>
          </w:tcPr>
          <w:p w14:paraId="59885DD1"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63 %</w:t>
            </w:r>
            <w:r w:rsidRPr="002F0660">
              <w:br/>
              <w:t>(- 1 place)</w:t>
            </w:r>
          </w:p>
        </w:tc>
      </w:tr>
      <w:tr w:rsidR="00902529" w14:paraId="5923F9D0"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65C1C452" w14:textId="77777777" w:rsidR="00902529" w:rsidRPr="002F0660" w:rsidRDefault="00902529" w:rsidP="00F30544">
            <w:pPr>
              <w:pStyle w:val="TableauSchmaOrganigrammealignementgauche"/>
            </w:pPr>
            <w:r>
              <w:t>Risques, vulnérabilités et adaptation (groupe 2)</w:t>
            </w:r>
          </w:p>
        </w:tc>
        <w:tc>
          <w:tcPr>
            <w:tcW w:w="0" w:type="auto"/>
            <w:vAlign w:val="top"/>
          </w:tcPr>
          <w:p w14:paraId="559560C5"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19 928</w:t>
            </w:r>
          </w:p>
        </w:tc>
        <w:tc>
          <w:tcPr>
            <w:tcW w:w="0" w:type="auto"/>
            <w:vAlign w:val="top"/>
          </w:tcPr>
          <w:p w14:paraId="5EAE3D61"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 xml:space="preserve">1 657 </w:t>
            </w:r>
            <w:r w:rsidRPr="002F0660">
              <w:br/>
              <w:t>(5e)</w:t>
            </w:r>
          </w:p>
        </w:tc>
        <w:tc>
          <w:tcPr>
            <w:tcW w:w="0" w:type="auto"/>
            <w:vAlign w:val="top"/>
          </w:tcPr>
          <w:p w14:paraId="5D75ADF2"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72 092</w:t>
            </w:r>
          </w:p>
        </w:tc>
        <w:tc>
          <w:tcPr>
            <w:tcW w:w="0" w:type="auto"/>
            <w:vAlign w:val="top"/>
          </w:tcPr>
          <w:p w14:paraId="069EF27C"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3</w:t>
            </w:r>
            <w:r w:rsidRPr="002F0660">
              <w:t xml:space="preserve"> 689 </w:t>
            </w:r>
            <w:r w:rsidRPr="002F0660">
              <w:br/>
              <w:t>(9e)</w:t>
            </w:r>
          </w:p>
        </w:tc>
        <w:tc>
          <w:tcPr>
            <w:tcW w:w="0" w:type="auto"/>
            <w:vAlign w:val="top"/>
          </w:tcPr>
          <w:p w14:paraId="1AC94329"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262 %</w:t>
            </w:r>
          </w:p>
        </w:tc>
        <w:tc>
          <w:tcPr>
            <w:tcW w:w="0" w:type="auto"/>
            <w:vAlign w:val="top"/>
          </w:tcPr>
          <w:p w14:paraId="362233A4"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123 %</w:t>
            </w:r>
            <w:r w:rsidRPr="002F0660">
              <w:br/>
              <w:t>(-4 places)</w:t>
            </w:r>
          </w:p>
        </w:tc>
      </w:tr>
      <w:tr w:rsidR="00902529" w14:paraId="35C000EA"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5433753B" w14:textId="77777777" w:rsidR="00902529" w:rsidRPr="002F0660" w:rsidRDefault="00902529" w:rsidP="00F30544">
            <w:pPr>
              <w:pStyle w:val="TableauSchmaOrganigrammealignementgauche"/>
            </w:pPr>
            <w:r>
              <w:t>Atténuation (groupe 3)</w:t>
            </w:r>
          </w:p>
        </w:tc>
        <w:tc>
          <w:tcPr>
            <w:tcW w:w="0" w:type="auto"/>
            <w:vAlign w:val="top"/>
          </w:tcPr>
          <w:p w14:paraId="55253C03"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26 159</w:t>
            </w:r>
          </w:p>
        </w:tc>
        <w:tc>
          <w:tcPr>
            <w:tcW w:w="0" w:type="auto"/>
            <w:vAlign w:val="top"/>
          </w:tcPr>
          <w:p w14:paraId="107C284B"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 xml:space="preserve">874 </w:t>
            </w:r>
            <w:r w:rsidRPr="002F0660">
              <w:br/>
              <w:t>(11e)</w:t>
            </w:r>
          </w:p>
        </w:tc>
        <w:tc>
          <w:tcPr>
            <w:tcW w:w="0" w:type="auto"/>
            <w:vAlign w:val="top"/>
          </w:tcPr>
          <w:p w14:paraId="062279A0"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111 405</w:t>
            </w:r>
          </w:p>
        </w:tc>
        <w:tc>
          <w:tcPr>
            <w:tcW w:w="0" w:type="auto"/>
            <w:vAlign w:val="top"/>
          </w:tcPr>
          <w:p w14:paraId="73A0A153"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3</w:t>
            </w:r>
            <w:r w:rsidRPr="002F0660">
              <w:t xml:space="preserve"> 479 </w:t>
            </w:r>
            <w:r w:rsidRPr="002F0660">
              <w:br/>
              <w:t>(10e)</w:t>
            </w:r>
          </w:p>
        </w:tc>
        <w:tc>
          <w:tcPr>
            <w:tcW w:w="0" w:type="auto"/>
            <w:vAlign w:val="top"/>
          </w:tcPr>
          <w:p w14:paraId="7459E1D0"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326 %</w:t>
            </w:r>
          </w:p>
        </w:tc>
        <w:tc>
          <w:tcPr>
            <w:tcW w:w="0" w:type="auto"/>
            <w:vAlign w:val="top"/>
          </w:tcPr>
          <w:p w14:paraId="3738E1B9"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298 %</w:t>
            </w:r>
          </w:p>
          <w:p w14:paraId="1C38451C" w14:textId="77777777" w:rsidR="00902529" w:rsidRPr="002F0660"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t>(+ 1 place)</w:t>
            </w:r>
          </w:p>
        </w:tc>
      </w:tr>
    </w:tbl>
    <w:p w14:paraId="21EFDE43" w14:textId="1F737AB5" w:rsidR="00902529" w:rsidRDefault="00902529" w:rsidP="00902529">
      <w:pPr>
        <w:pStyle w:val="TexteSource"/>
      </w:pPr>
      <w:r>
        <w:t>Source :</w:t>
      </w:r>
      <w:r w:rsidRPr="002F0660">
        <w:t xml:space="preserve"> synthèse Cour des comptes d’après InCites consulté en juin 2021.</w:t>
      </w:r>
      <w:r>
        <w:t xml:space="preserve"> La méthode ici employée est basée sur des données indirectes (</w:t>
      </w:r>
      <w:r w:rsidRPr="002F0660">
        <w:t>dix premiers journaux cités par le GIEC pour chaque ensemble analyse, hors journaux généralistes et uniquement avec les journaux spécifiques à plus de 80 % pour les trois groupes du GIEC analysés de façon isolée). *Les journaux du groupe 1 étant les plus fréquemment cités, il s’ensuit que les résultats d’ensemble sont semblables à ceux du groupe 1.</w:t>
      </w:r>
    </w:p>
    <w:p w14:paraId="583122A1" w14:textId="77777777" w:rsidR="004842C0" w:rsidRDefault="004842C0" w:rsidP="004842C0">
      <w:pPr>
        <w:rPr>
          <w:u w:val="single"/>
          <w:lang w:eastAsia="fr-FR"/>
        </w:rPr>
      </w:pPr>
    </w:p>
    <w:p w14:paraId="2C372A67" w14:textId="3CBDCB68" w:rsidR="004842C0" w:rsidRPr="004842C0" w:rsidRDefault="004842C0" w:rsidP="004842C0">
      <w:pPr>
        <w:rPr>
          <w:u w:val="single"/>
          <w:lang w:eastAsia="fr-FR"/>
        </w:rPr>
      </w:pPr>
      <w:r w:rsidRPr="004842C0">
        <w:rPr>
          <w:u w:val="single"/>
          <w:lang w:eastAsia="fr-FR"/>
        </w:rPr>
        <w:t>Une recherche nationale marquée par d’importantes disparités sectorielles et territoriales</w:t>
      </w:r>
    </w:p>
    <w:p w14:paraId="0A2E6E3C" w14:textId="77777777" w:rsidR="00902529" w:rsidRDefault="00902529" w:rsidP="00902529">
      <w:pPr>
        <w:pStyle w:val="Titrecarte"/>
      </w:pPr>
      <w:r w:rsidRPr="009F1D10">
        <w:t>Répartition départementale des citations des structures françaises citées par les deux premiers groupes du GIEC.</w:t>
      </w:r>
    </w:p>
    <w:p w14:paraId="3247A89F" w14:textId="77777777" w:rsidR="00902529" w:rsidRPr="00902529" w:rsidRDefault="00902529" w:rsidP="00902529">
      <w:pPr>
        <w:rPr>
          <w:i/>
          <w:sz w:val="20"/>
        </w:rPr>
      </w:pPr>
      <w:r w:rsidRPr="00502B12">
        <w:rPr>
          <w:noProof/>
        </w:rPr>
        <w:drawing>
          <wp:anchor distT="0" distB="0" distL="114300" distR="114300" simplePos="0" relativeHeight="251673600" behindDoc="0" locked="0" layoutInCell="1" allowOverlap="1" wp14:anchorId="1ABD6140" wp14:editId="6E4882EE">
            <wp:simplePos x="0" y="0"/>
            <wp:positionH relativeFrom="margin">
              <wp:posOffset>0</wp:posOffset>
            </wp:positionH>
            <wp:positionV relativeFrom="paragraph">
              <wp:posOffset>219075</wp:posOffset>
            </wp:positionV>
            <wp:extent cx="3379470" cy="3397250"/>
            <wp:effectExtent l="0" t="0" r="0" b="0"/>
            <wp:wrapTopAndBottom/>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extLst>
                        <a:ext uri="{28A0092B-C50C-407E-A947-70E740481C1C}">
                          <a14:useLocalDpi xmlns:a14="http://schemas.microsoft.com/office/drawing/2010/main" val="0"/>
                        </a:ext>
                      </a:extLst>
                    </a:blip>
                    <a:srcRect b="5614"/>
                    <a:stretch/>
                  </pic:blipFill>
                  <pic:spPr bwMode="auto">
                    <a:xfrm>
                      <a:off x="0" y="0"/>
                      <a:ext cx="3379470" cy="33972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2B12">
        <w:rPr>
          <w:noProof/>
        </w:rPr>
        <w:drawing>
          <wp:anchor distT="0" distB="0" distL="114300" distR="114300" simplePos="0" relativeHeight="251674624" behindDoc="0" locked="0" layoutInCell="1" allowOverlap="1" wp14:anchorId="6ED3D005" wp14:editId="4EE03319">
            <wp:simplePos x="0" y="0"/>
            <wp:positionH relativeFrom="margin">
              <wp:posOffset>3184525</wp:posOffset>
            </wp:positionH>
            <wp:positionV relativeFrom="paragraph">
              <wp:posOffset>299720</wp:posOffset>
            </wp:positionV>
            <wp:extent cx="3379470" cy="3299460"/>
            <wp:effectExtent l="0" t="0" r="0" b="0"/>
            <wp:wrapTopAndBottom/>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extLst>
                        <a:ext uri="{28A0092B-C50C-407E-A947-70E740481C1C}">
                          <a14:useLocalDpi xmlns:a14="http://schemas.microsoft.com/office/drawing/2010/main" val="0"/>
                        </a:ext>
                      </a:extLst>
                    </a:blip>
                    <a:srcRect b="6365"/>
                    <a:stretch/>
                  </pic:blipFill>
                  <pic:spPr bwMode="auto">
                    <a:xfrm>
                      <a:off x="0" y="0"/>
                      <a:ext cx="3379470" cy="32994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1CB7C7" w14:textId="77777777" w:rsidR="00902529" w:rsidRDefault="00902529" w:rsidP="00902529">
      <w:pPr>
        <w:pStyle w:val="TexteSource"/>
      </w:pPr>
      <w:r w:rsidRPr="00C82978">
        <w:t>Source : analyses Cour des comptes d’après les citations du GIEC (6e cycle) croisées avec l’outil Hal.</w:t>
      </w:r>
      <w:r w:rsidRPr="008537B1">
        <w:t xml:space="preserve"> La carte en bleu représente les structures citées par le groupe 1 relatif aux sciences fondamentales du climat. La carte en vert représente les structures citées par le groupe 2 relatif aux risques, vulnérabilité et à l’adaptation au changement climatique.</w:t>
      </w:r>
    </w:p>
    <w:p w14:paraId="22C302DE" w14:textId="77777777" w:rsidR="00902529" w:rsidRDefault="00902529" w:rsidP="00902529">
      <w:pPr>
        <w:pStyle w:val="Titregraphique"/>
        <w:spacing w:before="400"/>
      </w:pPr>
      <w:r w:rsidRPr="00846569">
        <w:rPr>
          <w:noProof/>
        </w:rPr>
        <w:lastRenderedPageBreak/>
        <w:drawing>
          <wp:anchor distT="0" distB="0" distL="114300" distR="114300" simplePos="0" relativeHeight="251675648" behindDoc="0" locked="0" layoutInCell="1" allowOverlap="1" wp14:anchorId="0A15137D" wp14:editId="659947DF">
            <wp:simplePos x="0" y="0"/>
            <wp:positionH relativeFrom="margin">
              <wp:align>center</wp:align>
            </wp:positionH>
            <wp:positionV relativeFrom="paragraph">
              <wp:posOffset>307975</wp:posOffset>
            </wp:positionV>
            <wp:extent cx="4906645" cy="3455035"/>
            <wp:effectExtent l="0" t="0" r="8255" b="12065"/>
            <wp:wrapTopAndBottom/>
            <wp:docPr id="22" name="Graphique 22">
              <a:extLst xmlns:a="http://schemas.openxmlformats.org/drawingml/2006/main">
                <a:ext uri="{FF2B5EF4-FFF2-40B4-BE49-F238E27FC236}">
                  <a16:creationId xmlns:a16="http://schemas.microsoft.com/office/drawing/2014/main" id="{D061B147-EE52-4E66-BCF6-4EBA18AADC4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t>Citation par le GIEC des principaux opérateurs rattachés aux Outre-Mer</w:t>
      </w:r>
    </w:p>
    <w:p w14:paraId="2E51D39F" w14:textId="77777777" w:rsidR="00902529" w:rsidRDefault="00902529" w:rsidP="00902529">
      <w:pPr>
        <w:pStyle w:val="TexteSource"/>
      </w:pPr>
      <w:r w:rsidRPr="00C82978">
        <w:t>Source : analyses Cour des comptes d’après les citations du GIEC (6e cycle) croisées avec l’outil HAL.</w:t>
      </w:r>
    </w:p>
    <w:p w14:paraId="1430447F" w14:textId="77777777" w:rsidR="00902529" w:rsidRDefault="00902529" w:rsidP="00902529">
      <w:pPr>
        <w:rPr>
          <w:lang w:eastAsia="fr-FR"/>
        </w:rPr>
      </w:pPr>
    </w:p>
    <w:p w14:paraId="1AC0656D" w14:textId="77777777" w:rsidR="00902529" w:rsidRDefault="00902529" w:rsidP="00902529">
      <w:pPr>
        <w:pStyle w:val="Titregraphique"/>
        <w:spacing w:before="400"/>
      </w:pPr>
      <w:r w:rsidRPr="007325A8">
        <w:rPr>
          <w:noProof/>
        </w:rPr>
        <w:drawing>
          <wp:anchor distT="0" distB="0" distL="114300" distR="114300" simplePos="0" relativeHeight="251676672" behindDoc="0" locked="0" layoutInCell="1" allowOverlap="1" wp14:anchorId="44672F52" wp14:editId="458F398D">
            <wp:simplePos x="0" y="0"/>
            <wp:positionH relativeFrom="column">
              <wp:posOffset>-107123</wp:posOffset>
            </wp:positionH>
            <wp:positionV relativeFrom="paragraph">
              <wp:posOffset>406927</wp:posOffset>
            </wp:positionV>
            <wp:extent cx="5803265" cy="2113280"/>
            <wp:effectExtent l="0" t="0" r="6985" b="1270"/>
            <wp:wrapTopAndBottom/>
            <wp:docPr id="10" name="Graphique 10">
              <a:extLst xmlns:a="http://schemas.openxmlformats.org/drawingml/2006/main">
                <a:ext uri="{FF2B5EF4-FFF2-40B4-BE49-F238E27FC236}">
                  <a16:creationId xmlns:a16="http://schemas.microsoft.com/office/drawing/2014/main" id="{554CCF7D-05B8-4EB8-A473-FB1CC47B7B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t> Disciplines des articles français cités par le GIEC</w:t>
      </w:r>
    </w:p>
    <w:p w14:paraId="61FFBD4B" w14:textId="77777777" w:rsidR="00902529" w:rsidRPr="00C0650C" w:rsidRDefault="00902529" w:rsidP="00902529">
      <w:pPr>
        <w:pStyle w:val="TexteSource"/>
      </w:pPr>
      <w:r>
        <w:t>Source : Cour des comptes d’après les données de citations du GIEC harmonisées et croisées avec Hal.</w:t>
      </w:r>
    </w:p>
    <w:p w14:paraId="2B0DD704" w14:textId="77777777" w:rsidR="00902529" w:rsidRPr="006A441F" w:rsidRDefault="00902529" w:rsidP="00902529">
      <w:pPr>
        <w:pStyle w:val="Titretableau"/>
      </w:pPr>
      <w:r>
        <w:t>La France n’échappe pas à la logique mondiale de « silo », tout particulièrement pour les interactions entre adaptation et atténuation</w:t>
      </w:r>
    </w:p>
    <w:tbl>
      <w:tblPr>
        <w:tblStyle w:val="Grilledutableau"/>
        <w:tblW w:w="0" w:type="auto"/>
        <w:tblInd w:w="110" w:type="dxa"/>
        <w:tblLook w:val="04A0" w:firstRow="1" w:lastRow="0" w:firstColumn="1" w:lastColumn="0" w:noHBand="0" w:noVBand="1"/>
      </w:tblPr>
      <w:tblGrid>
        <w:gridCol w:w="2434"/>
        <w:gridCol w:w="1559"/>
        <w:gridCol w:w="1556"/>
        <w:gridCol w:w="1609"/>
        <w:gridCol w:w="1783"/>
      </w:tblGrid>
      <w:tr w:rsidR="00902529" w:rsidRPr="00B348A7" w14:paraId="7E7859A8"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tcPr>
          <w:p w14:paraId="4CFE7617" w14:textId="77777777" w:rsidR="00902529" w:rsidRPr="00B348A7" w:rsidRDefault="00902529" w:rsidP="00F30544">
            <w:pPr>
              <w:spacing w:before="0" w:after="0"/>
              <w:ind w:firstLine="0"/>
              <w:rPr>
                <w:sz w:val="22"/>
              </w:rPr>
            </w:pPr>
          </w:p>
        </w:tc>
        <w:tc>
          <w:tcPr>
            <w:tcW w:w="1559" w:type="dxa"/>
          </w:tcPr>
          <w:p w14:paraId="59052EB0" w14:textId="77777777" w:rsidR="00902529" w:rsidRPr="00B348A7" w:rsidRDefault="00902529" w:rsidP="00F30544">
            <w:pPr>
              <w:spacing w:before="0" w:after="0"/>
              <w:ind w:firstLine="0"/>
              <w:cnfStyle w:val="100000000000" w:firstRow="1" w:lastRow="0" w:firstColumn="0" w:lastColumn="0" w:oddVBand="0" w:evenVBand="0" w:oddHBand="0" w:evenHBand="0" w:firstRowFirstColumn="0" w:firstRowLastColumn="0" w:lastRowFirstColumn="0" w:lastRowLastColumn="0"/>
              <w:rPr>
                <w:sz w:val="22"/>
                <w:lang w:val="en-US"/>
              </w:rPr>
            </w:pPr>
            <w:r w:rsidRPr="00B348A7">
              <w:rPr>
                <w:sz w:val="22"/>
                <w:lang w:val="en-US"/>
              </w:rPr>
              <w:t>Groupes 1 et 2</w:t>
            </w:r>
          </w:p>
        </w:tc>
        <w:tc>
          <w:tcPr>
            <w:tcW w:w="1556" w:type="dxa"/>
          </w:tcPr>
          <w:p w14:paraId="36DD0A14" w14:textId="77777777" w:rsidR="00902529" w:rsidRPr="00B348A7" w:rsidRDefault="00902529" w:rsidP="00F30544">
            <w:pPr>
              <w:spacing w:before="0" w:after="0"/>
              <w:ind w:firstLine="0"/>
              <w:cnfStyle w:val="100000000000" w:firstRow="1" w:lastRow="0" w:firstColumn="0" w:lastColumn="0" w:oddVBand="0" w:evenVBand="0" w:oddHBand="0" w:evenHBand="0" w:firstRowFirstColumn="0" w:firstRowLastColumn="0" w:lastRowFirstColumn="0" w:lastRowLastColumn="0"/>
              <w:rPr>
                <w:sz w:val="22"/>
                <w:lang w:val="en-US"/>
              </w:rPr>
            </w:pPr>
            <w:r w:rsidRPr="00B348A7">
              <w:rPr>
                <w:sz w:val="22"/>
                <w:lang w:val="en-US"/>
              </w:rPr>
              <w:t>Groupes 1 et 3</w:t>
            </w:r>
          </w:p>
        </w:tc>
        <w:tc>
          <w:tcPr>
            <w:tcW w:w="1609" w:type="dxa"/>
          </w:tcPr>
          <w:p w14:paraId="58D86992" w14:textId="77777777" w:rsidR="00902529" w:rsidRPr="00B348A7" w:rsidRDefault="00902529" w:rsidP="00F30544">
            <w:pPr>
              <w:spacing w:before="0" w:after="0"/>
              <w:ind w:firstLine="0"/>
              <w:cnfStyle w:val="100000000000" w:firstRow="1" w:lastRow="0" w:firstColumn="0" w:lastColumn="0" w:oddVBand="0" w:evenVBand="0" w:oddHBand="0" w:evenHBand="0" w:firstRowFirstColumn="0" w:firstRowLastColumn="0" w:lastRowFirstColumn="0" w:lastRowLastColumn="0"/>
              <w:rPr>
                <w:sz w:val="22"/>
                <w:lang w:val="en-US"/>
              </w:rPr>
            </w:pPr>
            <w:r w:rsidRPr="00B348A7">
              <w:rPr>
                <w:sz w:val="22"/>
                <w:lang w:val="en-US"/>
              </w:rPr>
              <w:t>Groupes 2 et 3</w:t>
            </w:r>
          </w:p>
        </w:tc>
        <w:tc>
          <w:tcPr>
            <w:tcW w:w="1783" w:type="dxa"/>
          </w:tcPr>
          <w:p w14:paraId="0156EABF" w14:textId="77777777" w:rsidR="00902529" w:rsidRPr="00B348A7" w:rsidRDefault="00902529" w:rsidP="00F30544">
            <w:pPr>
              <w:spacing w:before="0" w:after="0"/>
              <w:ind w:firstLine="0"/>
              <w:cnfStyle w:val="100000000000" w:firstRow="1" w:lastRow="0" w:firstColumn="0" w:lastColumn="0" w:oddVBand="0" w:evenVBand="0" w:oddHBand="0" w:evenHBand="0" w:firstRowFirstColumn="0" w:firstRowLastColumn="0" w:lastRowFirstColumn="0" w:lastRowLastColumn="0"/>
              <w:rPr>
                <w:sz w:val="22"/>
                <w:lang w:val="en-US"/>
              </w:rPr>
            </w:pPr>
            <w:r w:rsidRPr="00B348A7">
              <w:rPr>
                <w:sz w:val="22"/>
                <w:lang w:val="en-US"/>
              </w:rPr>
              <w:t>Groupes 1, 2 et 3</w:t>
            </w:r>
          </w:p>
        </w:tc>
      </w:tr>
      <w:tr w:rsidR="00902529" w:rsidRPr="00B348A7" w14:paraId="3F4C5A69" w14:textId="77777777" w:rsidTr="00F305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tcPr>
          <w:p w14:paraId="6A146BAE" w14:textId="77777777" w:rsidR="00902529" w:rsidRPr="00B348A7" w:rsidRDefault="00902529" w:rsidP="00F30544">
            <w:pPr>
              <w:spacing w:before="0" w:after="0"/>
              <w:ind w:firstLine="0"/>
              <w:jc w:val="center"/>
              <w:rPr>
                <w:sz w:val="22"/>
              </w:rPr>
            </w:pPr>
            <w:r w:rsidRPr="00B348A7">
              <w:rPr>
                <w:sz w:val="22"/>
              </w:rPr>
              <w:t>Totaux des documents (uniques) cités par tous les groupes considérés [T_intersection]</w:t>
            </w:r>
          </w:p>
        </w:tc>
        <w:tc>
          <w:tcPr>
            <w:tcW w:w="1559" w:type="dxa"/>
          </w:tcPr>
          <w:p w14:paraId="2C73DBF0"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Pr>
                <w:sz w:val="22"/>
              </w:rPr>
              <w:t>1 372</w:t>
            </w:r>
          </w:p>
        </w:tc>
        <w:tc>
          <w:tcPr>
            <w:tcW w:w="1556" w:type="dxa"/>
          </w:tcPr>
          <w:p w14:paraId="73C944F9"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sidRPr="00885329">
              <w:rPr>
                <w:sz w:val="22"/>
              </w:rPr>
              <w:t>411</w:t>
            </w:r>
          </w:p>
        </w:tc>
        <w:tc>
          <w:tcPr>
            <w:tcW w:w="1609" w:type="dxa"/>
          </w:tcPr>
          <w:p w14:paraId="0B680CE8"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sidRPr="00687279">
              <w:rPr>
                <w:sz w:val="22"/>
              </w:rPr>
              <w:t>950</w:t>
            </w:r>
          </w:p>
        </w:tc>
        <w:tc>
          <w:tcPr>
            <w:tcW w:w="1783" w:type="dxa"/>
          </w:tcPr>
          <w:p w14:paraId="31C3CAEB"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sidRPr="005265D9">
              <w:rPr>
                <w:sz w:val="22"/>
              </w:rPr>
              <w:t>128</w:t>
            </w:r>
          </w:p>
        </w:tc>
      </w:tr>
      <w:tr w:rsidR="00902529" w:rsidRPr="00B348A7" w14:paraId="3DB855CD" w14:textId="77777777" w:rsidTr="00F30544">
        <w:tc>
          <w:tcPr>
            <w:cnfStyle w:val="001000000000" w:firstRow="0" w:lastRow="0" w:firstColumn="1" w:lastColumn="0" w:oddVBand="0" w:evenVBand="0" w:oddHBand="0" w:evenHBand="0" w:firstRowFirstColumn="0" w:firstRowLastColumn="0" w:lastRowFirstColumn="0" w:lastRowLastColumn="0"/>
            <w:tcW w:w="2434" w:type="dxa"/>
          </w:tcPr>
          <w:p w14:paraId="6F353B18" w14:textId="77777777" w:rsidR="00902529" w:rsidRPr="00B348A7" w:rsidRDefault="00902529" w:rsidP="00F30544">
            <w:pPr>
              <w:spacing w:before="0" w:after="0"/>
              <w:ind w:firstLine="0"/>
              <w:jc w:val="center"/>
              <w:rPr>
                <w:sz w:val="22"/>
              </w:rPr>
            </w:pPr>
            <w:r w:rsidRPr="00B348A7">
              <w:rPr>
                <w:sz w:val="22"/>
              </w:rPr>
              <w:lastRenderedPageBreak/>
              <w:t>Totaux des documents (uniques) cités par au moins un des groupes considérés [T_union]</w:t>
            </w:r>
          </w:p>
        </w:tc>
        <w:tc>
          <w:tcPr>
            <w:tcW w:w="1559" w:type="dxa"/>
          </w:tcPr>
          <w:p w14:paraId="6828F676"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sidRPr="006B45DF">
              <w:rPr>
                <w:sz w:val="22"/>
              </w:rPr>
              <w:t>29</w:t>
            </w:r>
            <w:r>
              <w:rPr>
                <w:sz w:val="22"/>
              </w:rPr>
              <w:t> </w:t>
            </w:r>
            <w:r w:rsidRPr="006B45DF">
              <w:rPr>
                <w:sz w:val="22"/>
              </w:rPr>
              <w:t>780</w:t>
            </w:r>
          </w:p>
        </w:tc>
        <w:tc>
          <w:tcPr>
            <w:tcW w:w="1556" w:type="dxa"/>
          </w:tcPr>
          <w:p w14:paraId="0683F8B1"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sidRPr="00885329">
              <w:rPr>
                <w:sz w:val="22"/>
              </w:rPr>
              <w:t>28</w:t>
            </w:r>
            <w:r>
              <w:rPr>
                <w:sz w:val="22"/>
              </w:rPr>
              <w:t> </w:t>
            </w:r>
            <w:r w:rsidRPr="00885329">
              <w:rPr>
                <w:sz w:val="22"/>
              </w:rPr>
              <w:t>267</w:t>
            </w:r>
          </w:p>
        </w:tc>
        <w:tc>
          <w:tcPr>
            <w:tcW w:w="1609" w:type="dxa"/>
          </w:tcPr>
          <w:p w14:paraId="0FE86064"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sidRPr="00687279">
              <w:rPr>
                <w:sz w:val="22"/>
              </w:rPr>
              <w:t>29</w:t>
            </w:r>
            <w:r>
              <w:rPr>
                <w:sz w:val="22"/>
              </w:rPr>
              <w:t> </w:t>
            </w:r>
            <w:r w:rsidRPr="00687279">
              <w:rPr>
                <w:sz w:val="22"/>
              </w:rPr>
              <w:t>080</w:t>
            </w:r>
          </w:p>
        </w:tc>
        <w:tc>
          <w:tcPr>
            <w:tcW w:w="1783" w:type="dxa"/>
          </w:tcPr>
          <w:p w14:paraId="60C697BF"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sidRPr="00B348A7">
              <w:rPr>
                <w:sz w:val="22"/>
              </w:rPr>
              <w:t>42 325</w:t>
            </w:r>
          </w:p>
        </w:tc>
      </w:tr>
      <w:tr w:rsidR="00902529" w:rsidRPr="00B348A7" w14:paraId="5B562B8C" w14:textId="77777777" w:rsidTr="00F305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tcPr>
          <w:p w14:paraId="63C06406" w14:textId="77777777" w:rsidR="00902529" w:rsidRPr="00B348A7" w:rsidRDefault="00902529" w:rsidP="00F30544">
            <w:pPr>
              <w:spacing w:before="0" w:after="0"/>
              <w:ind w:firstLine="0"/>
              <w:jc w:val="center"/>
              <w:rPr>
                <w:b/>
                <w:i w:val="0"/>
                <w:sz w:val="22"/>
              </w:rPr>
            </w:pPr>
            <w:r w:rsidRPr="00B348A7">
              <w:rPr>
                <w:b/>
                <w:sz w:val="22"/>
              </w:rPr>
              <w:t>Part des documents aux interfaces entre les groupes considérés</w:t>
            </w:r>
          </w:p>
          <w:p w14:paraId="66CA301D" w14:textId="77777777" w:rsidR="00902529" w:rsidRPr="00B348A7" w:rsidRDefault="00902529" w:rsidP="00F30544">
            <w:pPr>
              <w:spacing w:before="0" w:after="0"/>
              <w:ind w:firstLine="0"/>
              <w:jc w:val="center"/>
              <w:rPr>
                <w:sz w:val="22"/>
              </w:rPr>
            </w:pPr>
            <w:r w:rsidRPr="00B348A7">
              <w:rPr>
                <w:b/>
                <w:sz w:val="22"/>
              </w:rPr>
              <w:t>[=T_intersection / T_union]</w:t>
            </w:r>
          </w:p>
        </w:tc>
        <w:tc>
          <w:tcPr>
            <w:tcW w:w="1559" w:type="dxa"/>
          </w:tcPr>
          <w:p w14:paraId="75A4C4FD" w14:textId="77777777" w:rsidR="00902529" w:rsidRPr="00380655"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sidRPr="00380655">
              <w:rPr>
                <w:b/>
                <w:sz w:val="22"/>
              </w:rPr>
              <w:t>4,6 %</w:t>
            </w:r>
          </w:p>
        </w:tc>
        <w:tc>
          <w:tcPr>
            <w:tcW w:w="1556" w:type="dxa"/>
          </w:tcPr>
          <w:p w14:paraId="4D2612CC" w14:textId="77777777" w:rsidR="00902529" w:rsidRPr="00380655"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sidRPr="00380655">
              <w:rPr>
                <w:b/>
                <w:sz w:val="22"/>
              </w:rPr>
              <w:t>1,5 %</w:t>
            </w:r>
          </w:p>
        </w:tc>
        <w:tc>
          <w:tcPr>
            <w:tcW w:w="1609" w:type="dxa"/>
          </w:tcPr>
          <w:p w14:paraId="48AC03BC" w14:textId="77777777" w:rsidR="00902529" w:rsidRPr="00380655"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sidRPr="00380655">
              <w:rPr>
                <w:b/>
                <w:sz w:val="22"/>
              </w:rPr>
              <w:t>3,3 %</w:t>
            </w:r>
          </w:p>
        </w:tc>
        <w:tc>
          <w:tcPr>
            <w:tcW w:w="1783" w:type="dxa"/>
          </w:tcPr>
          <w:p w14:paraId="0A182528" w14:textId="77777777" w:rsidR="00902529" w:rsidRPr="00380655"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sidRPr="00380655">
              <w:rPr>
                <w:b/>
                <w:sz w:val="22"/>
              </w:rPr>
              <w:t>0,3 %</w:t>
            </w:r>
          </w:p>
        </w:tc>
      </w:tr>
      <w:tr w:rsidR="00902529" w:rsidRPr="00B348A7" w14:paraId="2AF5A50D" w14:textId="77777777" w:rsidTr="00F30544">
        <w:tc>
          <w:tcPr>
            <w:cnfStyle w:val="001000000000" w:firstRow="0" w:lastRow="0" w:firstColumn="1" w:lastColumn="0" w:oddVBand="0" w:evenVBand="0" w:oddHBand="0" w:evenHBand="0" w:firstRowFirstColumn="0" w:firstRowLastColumn="0" w:lastRowFirstColumn="0" w:lastRowLastColumn="0"/>
            <w:tcW w:w="2434" w:type="dxa"/>
          </w:tcPr>
          <w:p w14:paraId="13D186A9" w14:textId="77777777" w:rsidR="00902529" w:rsidRPr="00B348A7" w:rsidRDefault="00902529" w:rsidP="00F30544">
            <w:pPr>
              <w:spacing w:before="0" w:after="0"/>
              <w:ind w:firstLine="0"/>
              <w:jc w:val="center"/>
              <w:rPr>
                <w:sz w:val="22"/>
              </w:rPr>
            </w:pPr>
            <w:r w:rsidRPr="00B348A7">
              <w:rPr>
                <w:sz w:val="22"/>
              </w:rPr>
              <w:t>Totaux avec au moins une structure française citée cités par tous les groupes considérés [F_intersection] (HAL)</w:t>
            </w:r>
          </w:p>
        </w:tc>
        <w:tc>
          <w:tcPr>
            <w:tcW w:w="1559" w:type="dxa"/>
          </w:tcPr>
          <w:p w14:paraId="6827AAFA"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Pr>
                <w:sz w:val="22"/>
              </w:rPr>
              <w:t>180</w:t>
            </w:r>
          </w:p>
        </w:tc>
        <w:tc>
          <w:tcPr>
            <w:tcW w:w="1556" w:type="dxa"/>
          </w:tcPr>
          <w:p w14:paraId="54D731C1"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sidRPr="00563EB7">
              <w:rPr>
                <w:sz w:val="22"/>
              </w:rPr>
              <w:t>50</w:t>
            </w:r>
          </w:p>
        </w:tc>
        <w:tc>
          <w:tcPr>
            <w:tcW w:w="1609" w:type="dxa"/>
          </w:tcPr>
          <w:p w14:paraId="5E9C9965"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sidRPr="00563EB7">
              <w:rPr>
                <w:sz w:val="22"/>
              </w:rPr>
              <w:t>55</w:t>
            </w:r>
          </w:p>
        </w:tc>
        <w:tc>
          <w:tcPr>
            <w:tcW w:w="1783" w:type="dxa"/>
          </w:tcPr>
          <w:p w14:paraId="38B5A131" w14:textId="77777777" w:rsidR="00902529" w:rsidRPr="00B348A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sz w:val="22"/>
              </w:rPr>
            </w:pPr>
            <w:r w:rsidRPr="00B653EB">
              <w:rPr>
                <w:sz w:val="22"/>
              </w:rPr>
              <w:t>15</w:t>
            </w:r>
          </w:p>
        </w:tc>
      </w:tr>
      <w:tr w:rsidR="00902529" w:rsidRPr="00B348A7" w14:paraId="5C8A427D" w14:textId="77777777" w:rsidTr="00F305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tcPr>
          <w:p w14:paraId="2CC9ABCE" w14:textId="77777777" w:rsidR="00902529" w:rsidRPr="00B348A7" w:rsidRDefault="00902529" w:rsidP="00F30544">
            <w:pPr>
              <w:spacing w:before="0" w:after="0"/>
              <w:ind w:firstLine="0"/>
              <w:jc w:val="center"/>
              <w:rPr>
                <w:sz w:val="22"/>
              </w:rPr>
            </w:pPr>
            <w:r w:rsidRPr="00B348A7">
              <w:rPr>
                <w:sz w:val="22"/>
              </w:rPr>
              <w:t>Totaux avec au moins une structure française citée cités par tous les groupes considérés [F_union] (HAL)</w:t>
            </w:r>
          </w:p>
        </w:tc>
        <w:tc>
          <w:tcPr>
            <w:tcW w:w="1559" w:type="dxa"/>
          </w:tcPr>
          <w:p w14:paraId="4FD0CDA2"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sidRPr="00E4100F">
              <w:rPr>
                <w:sz w:val="22"/>
              </w:rPr>
              <w:t>2</w:t>
            </w:r>
            <w:r>
              <w:rPr>
                <w:sz w:val="22"/>
              </w:rPr>
              <w:t> </w:t>
            </w:r>
            <w:r w:rsidRPr="00E4100F">
              <w:rPr>
                <w:sz w:val="22"/>
              </w:rPr>
              <w:t>118</w:t>
            </w:r>
          </w:p>
        </w:tc>
        <w:tc>
          <w:tcPr>
            <w:tcW w:w="1556" w:type="dxa"/>
          </w:tcPr>
          <w:p w14:paraId="186DAADA"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sidRPr="00563EB7">
              <w:rPr>
                <w:sz w:val="22"/>
              </w:rPr>
              <w:t>1</w:t>
            </w:r>
            <w:r>
              <w:rPr>
                <w:sz w:val="22"/>
              </w:rPr>
              <w:t> </w:t>
            </w:r>
            <w:r w:rsidRPr="00563EB7">
              <w:rPr>
                <w:sz w:val="22"/>
              </w:rPr>
              <w:t>751</w:t>
            </w:r>
          </w:p>
        </w:tc>
        <w:tc>
          <w:tcPr>
            <w:tcW w:w="1609" w:type="dxa"/>
          </w:tcPr>
          <w:p w14:paraId="42402F5B"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sidRPr="00563EB7">
              <w:rPr>
                <w:sz w:val="22"/>
              </w:rPr>
              <w:t>1</w:t>
            </w:r>
            <w:r>
              <w:rPr>
                <w:sz w:val="22"/>
              </w:rPr>
              <w:t> </w:t>
            </w:r>
            <w:r w:rsidRPr="00563EB7">
              <w:rPr>
                <w:sz w:val="22"/>
              </w:rPr>
              <w:t>230</w:t>
            </w:r>
          </w:p>
        </w:tc>
        <w:tc>
          <w:tcPr>
            <w:tcW w:w="1783" w:type="dxa"/>
          </w:tcPr>
          <w:p w14:paraId="33659ECF" w14:textId="77777777" w:rsidR="00902529" w:rsidRPr="00B348A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sz w:val="22"/>
              </w:rPr>
            </w:pPr>
            <w:r w:rsidRPr="00B653EB">
              <w:rPr>
                <w:sz w:val="22"/>
              </w:rPr>
              <w:t>2</w:t>
            </w:r>
            <w:r>
              <w:rPr>
                <w:sz w:val="22"/>
              </w:rPr>
              <w:t> </w:t>
            </w:r>
            <w:r w:rsidRPr="00B653EB">
              <w:rPr>
                <w:sz w:val="22"/>
              </w:rPr>
              <w:t>422</w:t>
            </w:r>
          </w:p>
        </w:tc>
      </w:tr>
      <w:tr w:rsidR="00902529" w:rsidRPr="00B348A7" w14:paraId="4380F5EA" w14:textId="77777777" w:rsidTr="00F30544">
        <w:tc>
          <w:tcPr>
            <w:cnfStyle w:val="001000000000" w:firstRow="0" w:lastRow="0" w:firstColumn="1" w:lastColumn="0" w:oddVBand="0" w:evenVBand="0" w:oddHBand="0" w:evenHBand="0" w:firstRowFirstColumn="0" w:firstRowLastColumn="0" w:lastRowFirstColumn="0" w:lastRowLastColumn="0"/>
            <w:tcW w:w="2434" w:type="dxa"/>
          </w:tcPr>
          <w:p w14:paraId="3F25A6B4" w14:textId="77777777" w:rsidR="00902529" w:rsidRPr="00B348A7" w:rsidRDefault="00902529" w:rsidP="00F30544">
            <w:pPr>
              <w:spacing w:before="0" w:after="0"/>
              <w:ind w:firstLine="0"/>
              <w:jc w:val="center"/>
              <w:rPr>
                <w:b/>
                <w:i w:val="0"/>
                <w:sz w:val="22"/>
              </w:rPr>
            </w:pPr>
            <w:r w:rsidRPr="00B348A7">
              <w:rPr>
                <w:b/>
                <w:sz w:val="22"/>
              </w:rPr>
              <w:t>Part des documents aux interfaces entre les groupes considérés pour la France</w:t>
            </w:r>
          </w:p>
          <w:p w14:paraId="22791372" w14:textId="77777777" w:rsidR="00902529" w:rsidRPr="00B348A7" w:rsidRDefault="00902529" w:rsidP="00F30544">
            <w:pPr>
              <w:spacing w:before="0" w:after="0"/>
              <w:ind w:firstLine="0"/>
              <w:jc w:val="center"/>
              <w:rPr>
                <w:sz w:val="22"/>
              </w:rPr>
            </w:pPr>
            <w:r w:rsidRPr="00B348A7">
              <w:rPr>
                <w:b/>
                <w:sz w:val="22"/>
              </w:rPr>
              <w:t>[=</w:t>
            </w:r>
            <w:r>
              <w:rPr>
                <w:b/>
                <w:sz w:val="22"/>
              </w:rPr>
              <w:t>F</w:t>
            </w:r>
            <w:r w:rsidRPr="00B348A7">
              <w:rPr>
                <w:b/>
                <w:sz w:val="22"/>
              </w:rPr>
              <w:t xml:space="preserve">_intersection / </w:t>
            </w:r>
            <w:r>
              <w:rPr>
                <w:b/>
                <w:sz w:val="22"/>
              </w:rPr>
              <w:t>F</w:t>
            </w:r>
            <w:r w:rsidRPr="00B348A7">
              <w:rPr>
                <w:b/>
                <w:sz w:val="22"/>
              </w:rPr>
              <w:t>_union]</w:t>
            </w:r>
          </w:p>
        </w:tc>
        <w:tc>
          <w:tcPr>
            <w:tcW w:w="1559" w:type="dxa"/>
          </w:tcPr>
          <w:p w14:paraId="19EBBDE7" w14:textId="77777777" w:rsidR="00902529" w:rsidRPr="00563EB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b/>
                <w:sz w:val="22"/>
              </w:rPr>
            </w:pPr>
            <w:r w:rsidRPr="00563EB7">
              <w:rPr>
                <w:b/>
                <w:sz w:val="22"/>
              </w:rPr>
              <w:t>8,5 %</w:t>
            </w:r>
          </w:p>
        </w:tc>
        <w:tc>
          <w:tcPr>
            <w:tcW w:w="1556" w:type="dxa"/>
          </w:tcPr>
          <w:p w14:paraId="03E11752" w14:textId="77777777" w:rsidR="00902529" w:rsidRPr="00563EB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b/>
                <w:sz w:val="22"/>
              </w:rPr>
            </w:pPr>
            <w:r w:rsidRPr="00563EB7">
              <w:rPr>
                <w:b/>
                <w:sz w:val="22"/>
              </w:rPr>
              <w:t>2,9</w:t>
            </w:r>
            <w:r>
              <w:rPr>
                <w:b/>
                <w:sz w:val="22"/>
              </w:rPr>
              <w:t xml:space="preserve"> </w:t>
            </w:r>
            <w:r w:rsidRPr="00563EB7">
              <w:rPr>
                <w:b/>
                <w:sz w:val="22"/>
              </w:rPr>
              <w:t>%</w:t>
            </w:r>
          </w:p>
        </w:tc>
        <w:tc>
          <w:tcPr>
            <w:tcW w:w="1609" w:type="dxa"/>
          </w:tcPr>
          <w:p w14:paraId="6D485471" w14:textId="77777777" w:rsidR="00902529" w:rsidRPr="00563EB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b/>
                <w:sz w:val="22"/>
              </w:rPr>
            </w:pPr>
            <w:r>
              <w:rPr>
                <w:b/>
                <w:sz w:val="22"/>
              </w:rPr>
              <w:t>4,4 %</w:t>
            </w:r>
          </w:p>
        </w:tc>
        <w:tc>
          <w:tcPr>
            <w:tcW w:w="1783" w:type="dxa"/>
          </w:tcPr>
          <w:p w14:paraId="0ADC60F9" w14:textId="77777777" w:rsidR="00902529" w:rsidRPr="00563EB7" w:rsidRDefault="00902529" w:rsidP="00F30544">
            <w:pPr>
              <w:spacing w:before="0" w:after="0"/>
              <w:ind w:firstLine="0"/>
              <w:jc w:val="center"/>
              <w:cnfStyle w:val="000000000000" w:firstRow="0" w:lastRow="0" w:firstColumn="0" w:lastColumn="0" w:oddVBand="0" w:evenVBand="0" w:oddHBand="0" w:evenHBand="0" w:firstRowFirstColumn="0" w:firstRowLastColumn="0" w:lastRowFirstColumn="0" w:lastRowLastColumn="0"/>
              <w:rPr>
                <w:b/>
                <w:sz w:val="22"/>
              </w:rPr>
            </w:pPr>
            <w:r>
              <w:rPr>
                <w:b/>
                <w:sz w:val="22"/>
              </w:rPr>
              <w:t>0,6 %</w:t>
            </w:r>
          </w:p>
        </w:tc>
      </w:tr>
      <w:tr w:rsidR="00902529" w:rsidRPr="00B348A7" w14:paraId="3F3AB6A9" w14:textId="77777777" w:rsidTr="00F305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34" w:type="dxa"/>
          </w:tcPr>
          <w:p w14:paraId="4566FA75" w14:textId="77777777" w:rsidR="00902529" w:rsidRPr="00B348A7" w:rsidRDefault="00902529" w:rsidP="00F30544">
            <w:pPr>
              <w:spacing w:before="0" w:after="0"/>
              <w:ind w:firstLine="0"/>
              <w:jc w:val="center"/>
              <w:rPr>
                <w:b/>
                <w:sz w:val="22"/>
              </w:rPr>
            </w:pPr>
            <w:r>
              <w:rPr>
                <w:b/>
                <w:sz w:val="22"/>
              </w:rPr>
              <w:t>Poids relatif de la France par rapport au monde</w:t>
            </w:r>
          </w:p>
        </w:tc>
        <w:tc>
          <w:tcPr>
            <w:tcW w:w="1559" w:type="dxa"/>
          </w:tcPr>
          <w:p w14:paraId="1AA33C4A" w14:textId="77777777" w:rsidR="00902529" w:rsidRPr="00563EB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Pr>
                <w:b/>
                <w:sz w:val="22"/>
              </w:rPr>
              <w:t>1,8</w:t>
            </w:r>
          </w:p>
        </w:tc>
        <w:tc>
          <w:tcPr>
            <w:tcW w:w="1556" w:type="dxa"/>
          </w:tcPr>
          <w:p w14:paraId="034C97F0" w14:textId="77777777" w:rsidR="00902529" w:rsidRPr="00563EB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Pr>
                <w:b/>
                <w:sz w:val="22"/>
              </w:rPr>
              <w:t>1,9</w:t>
            </w:r>
          </w:p>
        </w:tc>
        <w:tc>
          <w:tcPr>
            <w:tcW w:w="1609" w:type="dxa"/>
          </w:tcPr>
          <w:p w14:paraId="2C6D7661" w14:textId="77777777" w:rsidR="00902529" w:rsidRPr="00563EB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Pr>
                <w:b/>
                <w:sz w:val="22"/>
              </w:rPr>
              <w:t>1,3</w:t>
            </w:r>
          </w:p>
        </w:tc>
        <w:tc>
          <w:tcPr>
            <w:tcW w:w="1783" w:type="dxa"/>
          </w:tcPr>
          <w:p w14:paraId="7E6336D0" w14:textId="77777777" w:rsidR="00902529" w:rsidRPr="00563EB7" w:rsidRDefault="00902529" w:rsidP="00F30544">
            <w:pPr>
              <w:spacing w:before="0" w:after="0"/>
              <w:ind w:firstLine="0"/>
              <w:jc w:val="center"/>
              <w:cnfStyle w:val="000000100000" w:firstRow="0" w:lastRow="0" w:firstColumn="0" w:lastColumn="0" w:oddVBand="0" w:evenVBand="0" w:oddHBand="1" w:evenHBand="0" w:firstRowFirstColumn="0" w:firstRowLastColumn="0" w:lastRowFirstColumn="0" w:lastRowLastColumn="0"/>
              <w:rPr>
                <w:b/>
                <w:sz w:val="22"/>
              </w:rPr>
            </w:pPr>
            <w:r>
              <w:rPr>
                <w:b/>
                <w:sz w:val="22"/>
              </w:rPr>
              <w:t>2,0</w:t>
            </w:r>
          </w:p>
        </w:tc>
      </w:tr>
    </w:tbl>
    <w:p w14:paraId="4A7E36DA" w14:textId="77777777" w:rsidR="00902529" w:rsidRDefault="00902529" w:rsidP="00902529">
      <w:pPr>
        <w:rPr>
          <w:i/>
          <w:sz w:val="20"/>
        </w:rPr>
      </w:pPr>
      <w:r w:rsidRPr="00575C8F">
        <w:rPr>
          <w:i/>
          <w:sz w:val="20"/>
        </w:rPr>
        <w:t>Source : analyses Cour des comptes d’après les citations du GIEC et HAL.</w:t>
      </w:r>
    </w:p>
    <w:p w14:paraId="670B31A5" w14:textId="77777777" w:rsidR="00902529" w:rsidRDefault="00902529" w:rsidP="00902529">
      <w:pPr>
        <w:pStyle w:val="Titretableau"/>
        <w:spacing w:before="400"/>
      </w:pPr>
      <w:r>
        <w:t xml:space="preserve"> Part des publications des opérateurs </w:t>
      </w:r>
      <w:r>
        <w:br/>
        <w:t>dans la recherche en adaptation (en %)</w:t>
      </w:r>
    </w:p>
    <w:tbl>
      <w:tblPr>
        <w:tblStyle w:val="TABLEAURAPPORTPUBLICANNUEL"/>
        <w:tblW w:w="0" w:type="auto"/>
        <w:tblInd w:w="-737" w:type="dxa"/>
        <w:tblLook w:val="04A0" w:firstRow="1" w:lastRow="0" w:firstColumn="1" w:lastColumn="0" w:noHBand="0" w:noVBand="1"/>
      </w:tblPr>
      <w:tblGrid>
        <w:gridCol w:w="1981"/>
        <w:gridCol w:w="2493"/>
        <w:gridCol w:w="2381"/>
        <w:gridCol w:w="2942"/>
      </w:tblGrid>
      <w:tr w:rsidR="00902529" w14:paraId="2F68F718"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top"/>
          </w:tcPr>
          <w:p w14:paraId="337C68B9" w14:textId="77777777" w:rsidR="00902529" w:rsidRPr="009D1467" w:rsidRDefault="00902529" w:rsidP="00F30544">
            <w:pPr>
              <w:pStyle w:val="TableauSchmaOrganigrammealignementgauche"/>
            </w:pPr>
            <w:r w:rsidRPr="009D1467">
              <w:t>Opérateur de recherche</w:t>
            </w:r>
          </w:p>
        </w:tc>
        <w:tc>
          <w:tcPr>
            <w:tcW w:w="0" w:type="auto"/>
            <w:vAlign w:val="top"/>
          </w:tcPr>
          <w:p w14:paraId="46CA5C9F" w14:textId="77777777" w:rsidR="00902529" w:rsidRPr="009D1467"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9D1467">
              <w:t>Nombre de publications de recherche pour l'adaptation</w:t>
            </w:r>
          </w:p>
        </w:tc>
        <w:tc>
          <w:tcPr>
            <w:tcW w:w="0" w:type="auto"/>
            <w:vAlign w:val="top"/>
          </w:tcPr>
          <w:p w14:paraId="5C500A50" w14:textId="77777777" w:rsidR="00902529" w:rsidRPr="009D1467"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9D1467">
              <w:t>Nombre de publications de recherche en adaptation</w:t>
            </w:r>
          </w:p>
        </w:tc>
        <w:tc>
          <w:tcPr>
            <w:tcW w:w="0" w:type="auto"/>
            <w:vAlign w:val="top"/>
          </w:tcPr>
          <w:p w14:paraId="05A89501" w14:textId="77777777" w:rsidR="00902529" w:rsidRPr="009D1467"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9D1467">
              <w:t>Part de la recherche en adaptation dans la recherche pour l'adaptation</w:t>
            </w:r>
          </w:p>
        </w:tc>
      </w:tr>
      <w:tr w:rsidR="00902529" w14:paraId="4AEB00CD"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68DC223E" w14:textId="77777777" w:rsidR="00902529" w:rsidRPr="009D1467" w:rsidRDefault="00902529" w:rsidP="00F30544">
            <w:pPr>
              <w:pStyle w:val="TableauSchmaOrganigrammealignementgauche"/>
            </w:pPr>
            <w:r w:rsidRPr="00E234D0">
              <w:t>CNRS</w:t>
            </w:r>
          </w:p>
        </w:tc>
        <w:tc>
          <w:tcPr>
            <w:tcW w:w="0" w:type="auto"/>
            <w:vAlign w:val="top"/>
          </w:tcPr>
          <w:p w14:paraId="601A8C26"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1835</w:t>
            </w:r>
          </w:p>
        </w:tc>
        <w:tc>
          <w:tcPr>
            <w:tcW w:w="0" w:type="auto"/>
            <w:vAlign w:val="top"/>
          </w:tcPr>
          <w:p w14:paraId="757F6FA8"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193</w:t>
            </w:r>
          </w:p>
        </w:tc>
        <w:tc>
          <w:tcPr>
            <w:tcW w:w="0" w:type="auto"/>
            <w:vAlign w:val="top"/>
          </w:tcPr>
          <w:p w14:paraId="34EB88C7"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11%</w:t>
            </w:r>
          </w:p>
        </w:tc>
      </w:tr>
      <w:tr w:rsidR="00902529" w14:paraId="35D3229F"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348A8F64" w14:textId="77777777" w:rsidR="00902529" w:rsidRPr="009D1467" w:rsidRDefault="00902529" w:rsidP="00F30544">
            <w:pPr>
              <w:pStyle w:val="TableauSchmaOrganigrammealignementgauche"/>
            </w:pPr>
            <w:r w:rsidRPr="00E234D0">
              <w:t>Inra</w:t>
            </w:r>
            <w:r>
              <w:t>é</w:t>
            </w:r>
          </w:p>
        </w:tc>
        <w:tc>
          <w:tcPr>
            <w:tcW w:w="0" w:type="auto"/>
            <w:vAlign w:val="top"/>
          </w:tcPr>
          <w:p w14:paraId="42ABBDC7"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518</w:t>
            </w:r>
          </w:p>
        </w:tc>
        <w:tc>
          <w:tcPr>
            <w:tcW w:w="0" w:type="auto"/>
            <w:vAlign w:val="top"/>
          </w:tcPr>
          <w:p w14:paraId="519C5BF3"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105</w:t>
            </w:r>
          </w:p>
        </w:tc>
        <w:tc>
          <w:tcPr>
            <w:tcW w:w="0" w:type="auto"/>
            <w:vAlign w:val="top"/>
          </w:tcPr>
          <w:p w14:paraId="76805F40"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20%</w:t>
            </w:r>
          </w:p>
        </w:tc>
      </w:tr>
      <w:tr w:rsidR="00902529" w14:paraId="5827F321"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7FE3F7B6" w14:textId="77777777" w:rsidR="00902529" w:rsidRPr="009D1467" w:rsidRDefault="00902529" w:rsidP="00F30544">
            <w:pPr>
              <w:pStyle w:val="TableauSchmaOrganigrammealignementgauche"/>
            </w:pPr>
            <w:r w:rsidRPr="00E234D0">
              <w:t>IRD</w:t>
            </w:r>
          </w:p>
        </w:tc>
        <w:tc>
          <w:tcPr>
            <w:tcW w:w="0" w:type="auto"/>
            <w:vAlign w:val="top"/>
          </w:tcPr>
          <w:p w14:paraId="67A30C08"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849</w:t>
            </w:r>
          </w:p>
        </w:tc>
        <w:tc>
          <w:tcPr>
            <w:tcW w:w="0" w:type="auto"/>
            <w:vAlign w:val="top"/>
          </w:tcPr>
          <w:p w14:paraId="7511861D"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80</w:t>
            </w:r>
          </w:p>
        </w:tc>
        <w:tc>
          <w:tcPr>
            <w:tcW w:w="0" w:type="auto"/>
            <w:vAlign w:val="top"/>
          </w:tcPr>
          <w:p w14:paraId="3C53065D"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9%</w:t>
            </w:r>
          </w:p>
        </w:tc>
      </w:tr>
      <w:tr w:rsidR="00902529" w14:paraId="4AFE05BE"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0FA70E8F" w14:textId="77777777" w:rsidR="00902529" w:rsidRPr="009D1467" w:rsidRDefault="00902529" w:rsidP="00F30544">
            <w:pPr>
              <w:pStyle w:val="TableauSchmaOrganigrammealignementgauche"/>
            </w:pPr>
            <w:r w:rsidRPr="00E234D0">
              <w:t>Université Paris-Saclay</w:t>
            </w:r>
          </w:p>
        </w:tc>
        <w:tc>
          <w:tcPr>
            <w:tcW w:w="0" w:type="auto"/>
            <w:vAlign w:val="top"/>
          </w:tcPr>
          <w:p w14:paraId="16E64810"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689</w:t>
            </w:r>
          </w:p>
        </w:tc>
        <w:tc>
          <w:tcPr>
            <w:tcW w:w="0" w:type="auto"/>
            <w:vAlign w:val="top"/>
          </w:tcPr>
          <w:p w14:paraId="1B674590"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73</w:t>
            </w:r>
          </w:p>
        </w:tc>
        <w:tc>
          <w:tcPr>
            <w:tcW w:w="0" w:type="auto"/>
            <w:vAlign w:val="top"/>
          </w:tcPr>
          <w:p w14:paraId="63E45E2E"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11%</w:t>
            </w:r>
          </w:p>
        </w:tc>
      </w:tr>
      <w:tr w:rsidR="00902529" w14:paraId="2C0BDF18"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0E2F2D9B" w14:textId="77777777" w:rsidR="00902529" w:rsidRPr="009D1467" w:rsidRDefault="00902529" w:rsidP="00F30544">
            <w:pPr>
              <w:pStyle w:val="TableauSchmaOrganigrammealignementgauche"/>
            </w:pPr>
            <w:r w:rsidRPr="00E234D0">
              <w:t>Université de Versailles Saint-Quentin</w:t>
            </w:r>
          </w:p>
        </w:tc>
        <w:tc>
          <w:tcPr>
            <w:tcW w:w="0" w:type="auto"/>
            <w:vAlign w:val="top"/>
          </w:tcPr>
          <w:p w14:paraId="42F55625"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894</w:t>
            </w:r>
          </w:p>
        </w:tc>
        <w:tc>
          <w:tcPr>
            <w:tcW w:w="0" w:type="auto"/>
            <w:vAlign w:val="top"/>
          </w:tcPr>
          <w:p w14:paraId="58F6A42E"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55</w:t>
            </w:r>
          </w:p>
        </w:tc>
        <w:tc>
          <w:tcPr>
            <w:tcW w:w="0" w:type="auto"/>
            <w:vAlign w:val="top"/>
          </w:tcPr>
          <w:p w14:paraId="09055148"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w:t>
            </w:r>
          </w:p>
        </w:tc>
      </w:tr>
      <w:tr w:rsidR="00902529" w14:paraId="734AE563"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E7A6E70" w14:textId="77777777" w:rsidR="00902529" w:rsidRPr="009D1467" w:rsidRDefault="00902529" w:rsidP="00F30544">
            <w:pPr>
              <w:pStyle w:val="TableauSchmaOrganigrammealignementgauche"/>
            </w:pPr>
            <w:r w:rsidRPr="00E234D0">
              <w:t>Cirad</w:t>
            </w:r>
          </w:p>
        </w:tc>
        <w:tc>
          <w:tcPr>
            <w:tcW w:w="0" w:type="auto"/>
            <w:vAlign w:val="top"/>
          </w:tcPr>
          <w:p w14:paraId="19EBACE9"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142</w:t>
            </w:r>
          </w:p>
        </w:tc>
        <w:tc>
          <w:tcPr>
            <w:tcW w:w="0" w:type="auto"/>
            <w:vAlign w:val="top"/>
          </w:tcPr>
          <w:p w14:paraId="0155218B"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51</w:t>
            </w:r>
          </w:p>
        </w:tc>
        <w:tc>
          <w:tcPr>
            <w:tcW w:w="0" w:type="auto"/>
            <w:vAlign w:val="top"/>
          </w:tcPr>
          <w:p w14:paraId="39F47C22"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36%</w:t>
            </w:r>
          </w:p>
        </w:tc>
      </w:tr>
      <w:tr w:rsidR="00902529" w14:paraId="3CAB79CB"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1B4F05BF" w14:textId="77777777" w:rsidR="00902529" w:rsidRPr="009D1467" w:rsidRDefault="00902529" w:rsidP="00F30544">
            <w:pPr>
              <w:pStyle w:val="TableauSchmaOrganigrammealignementgauche"/>
            </w:pPr>
            <w:r w:rsidRPr="00E234D0">
              <w:t>CEA</w:t>
            </w:r>
          </w:p>
        </w:tc>
        <w:tc>
          <w:tcPr>
            <w:tcW w:w="0" w:type="auto"/>
            <w:vAlign w:val="top"/>
          </w:tcPr>
          <w:p w14:paraId="419C30C0"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843</w:t>
            </w:r>
          </w:p>
        </w:tc>
        <w:tc>
          <w:tcPr>
            <w:tcW w:w="0" w:type="auto"/>
            <w:vAlign w:val="top"/>
          </w:tcPr>
          <w:p w14:paraId="200710B7"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49</w:t>
            </w:r>
          </w:p>
        </w:tc>
        <w:tc>
          <w:tcPr>
            <w:tcW w:w="0" w:type="auto"/>
            <w:vAlign w:val="top"/>
          </w:tcPr>
          <w:p w14:paraId="4A190396"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w:t>
            </w:r>
          </w:p>
        </w:tc>
      </w:tr>
      <w:tr w:rsidR="00902529" w14:paraId="08BF2FA5"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196C3498" w14:textId="77777777" w:rsidR="00902529" w:rsidRPr="009D1467" w:rsidRDefault="00902529" w:rsidP="00F30544">
            <w:pPr>
              <w:pStyle w:val="TableauSchmaOrganigrammealignementgauche"/>
            </w:pPr>
            <w:r w:rsidRPr="00E234D0">
              <w:t>Université Paris sciences et lettres</w:t>
            </w:r>
          </w:p>
        </w:tc>
        <w:tc>
          <w:tcPr>
            <w:tcW w:w="0" w:type="auto"/>
            <w:vAlign w:val="top"/>
          </w:tcPr>
          <w:p w14:paraId="672A6882"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656</w:t>
            </w:r>
          </w:p>
        </w:tc>
        <w:tc>
          <w:tcPr>
            <w:tcW w:w="0" w:type="auto"/>
            <w:vAlign w:val="top"/>
          </w:tcPr>
          <w:p w14:paraId="60F83364"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44</w:t>
            </w:r>
          </w:p>
        </w:tc>
        <w:tc>
          <w:tcPr>
            <w:tcW w:w="0" w:type="auto"/>
            <w:vAlign w:val="top"/>
          </w:tcPr>
          <w:p w14:paraId="2CD8804F"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7%</w:t>
            </w:r>
          </w:p>
        </w:tc>
      </w:tr>
      <w:tr w:rsidR="00902529" w14:paraId="010219E4"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2993715C" w14:textId="77777777" w:rsidR="00902529" w:rsidRPr="009D1467" w:rsidRDefault="00902529" w:rsidP="00F30544">
            <w:pPr>
              <w:pStyle w:val="TableauSchmaOrganigrammealignementgauche"/>
            </w:pPr>
            <w:r w:rsidRPr="00E234D0">
              <w:t>Sorbonne Université</w:t>
            </w:r>
          </w:p>
        </w:tc>
        <w:tc>
          <w:tcPr>
            <w:tcW w:w="0" w:type="auto"/>
            <w:vAlign w:val="top"/>
          </w:tcPr>
          <w:p w14:paraId="1870948A"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662</w:t>
            </w:r>
          </w:p>
        </w:tc>
        <w:tc>
          <w:tcPr>
            <w:tcW w:w="0" w:type="auto"/>
            <w:vAlign w:val="top"/>
          </w:tcPr>
          <w:p w14:paraId="31FF3BDD"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43</w:t>
            </w:r>
          </w:p>
        </w:tc>
        <w:tc>
          <w:tcPr>
            <w:tcW w:w="0" w:type="auto"/>
            <w:vAlign w:val="top"/>
          </w:tcPr>
          <w:p w14:paraId="27A85CF0"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w:t>
            </w:r>
          </w:p>
        </w:tc>
      </w:tr>
      <w:tr w:rsidR="00902529" w14:paraId="77BE4EA2"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48A7E3DE" w14:textId="77777777" w:rsidR="00902529" w:rsidRPr="009D1467" w:rsidRDefault="00902529" w:rsidP="00F30544">
            <w:pPr>
              <w:pStyle w:val="TableauSchmaOrganigrammealignementgauche"/>
            </w:pPr>
            <w:r w:rsidRPr="00E234D0">
              <w:lastRenderedPageBreak/>
              <w:t xml:space="preserve">Université de </w:t>
            </w:r>
            <w:r w:rsidRPr="009D1467">
              <w:t>Toulouse</w:t>
            </w:r>
          </w:p>
        </w:tc>
        <w:tc>
          <w:tcPr>
            <w:tcW w:w="0" w:type="auto"/>
            <w:vAlign w:val="top"/>
          </w:tcPr>
          <w:p w14:paraId="6BDDA3A6"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389</w:t>
            </w:r>
          </w:p>
        </w:tc>
        <w:tc>
          <w:tcPr>
            <w:tcW w:w="0" w:type="auto"/>
            <w:vAlign w:val="top"/>
          </w:tcPr>
          <w:p w14:paraId="30DC011B"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42</w:t>
            </w:r>
          </w:p>
        </w:tc>
        <w:tc>
          <w:tcPr>
            <w:tcW w:w="0" w:type="auto"/>
            <w:vAlign w:val="top"/>
          </w:tcPr>
          <w:p w14:paraId="03232E92"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11%</w:t>
            </w:r>
          </w:p>
        </w:tc>
      </w:tr>
      <w:tr w:rsidR="00902529" w14:paraId="23746F50"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ADB9483" w14:textId="77777777" w:rsidR="00902529" w:rsidRPr="009D1467" w:rsidRDefault="00902529" w:rsidP="00F30544">
            <w:pPr>
              <w:pStyle w:val="TableauSchmaOrganigrammealignementgauche"/>
            </w:pPr>
            <w:r w:rsidRPr="00E234D0">
              <w:t>CNES</w:t>
            </w:r>
          </w:p>
        </w:tc>
        <w:tc>
          <w:tcPr>
            <w:tcW w:w="0" w:type="auto"/>
            <w:vAlign w:val="top"/>
          </w:tcPr>
          <w:p w14:paraId="34DD5981"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586</w:t>
            </w:r>
          </w:p>
        </w:tc>
        <w:tc>
          <w:tcPr>
            <w:tcW w:w="0" w:type="auto"/>
            <w:vAlign w:val="top"/>
          </w:tcPr>
          <w:p w14:paraId="2ABF83A1"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41</w:t>
            </w:r>
          </w:p>
        </w:tc>
        <w:tc>
          <w:tcPr>
            <w:tcW w:w="0" w:type="auto"/>
            <w:vAlign w:val="top"/>
          </w:tcPr>
          <w:p w14:paraId="10298232"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7%</w:t>
            </w:r>
          </w:p>
        </w:tc>
      </w:tr>
      <w:tr w:rsidR="00902529" w14:paraId="583ADA3F"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44DF1DEA" w14:textId="77777777" w:rsidR="00902529" w:rsidRPr="009D1467" w:rsidRDefault="00902529" w:rsidP="00F30544">
            <w:pPr>
              <w:pStyle w:val="TableauSchmaOrganigrammealignementgauche"/>
            </w:pPr>
            <w:r w:rsidRPr="00E234D0">
              <w:t>École des Ponts ParisTech</w:t>
            </w:r>
          </w:p>
        </w:tc>
        <w:tc>
          <w:tcPr>
            <w:tcW w:w="0" w:type="auto"/>
            <w:vAlign w:val="top"/>
          </w:tcPr>
          <w:p w14:paraId="3E8B6948"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252</w:t>
            </w:r>
          </w:p>
        </w:tc>
        <w:tc>
          <w:tcPr>
            <w:tcW w:w="0" w:type="auto"/>
            <w:vAlign w:val="top"/>
          </w:tcPr>
          <w:p w14:paraId="0552CFBE"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32</w:t>
            </w:r>
          </w:p>
        </w:tc>
        <w:tc>
          <w:tcPr>
            <w:tcW w:w="0" w:type="auto"/>
            <w:vAlign w:val="top"/>
          </w:tcPr>
          <w:p w14:paraId="54F864AB"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13%</w:t>
            </w:r>
          </w:p>
        </w:tc>
      </w:tr>
      <w:tr w:rsidR="00902529" w14:paraId="0FC42668"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64D392D4" w14:textId="77777777" w:rsidR="00902529" w:rsidRPr="009D1467" w:rsidRDefault="00902529" w:rsidP="00F30544">
            <w:pPr>
              <w:pStyle w:val="TableauSchmaOrganigrammealignementgauche"/>
            </w:pPr>
            <w:r w:rsidRPr="00E234D0">
              <w:t>Météo-France</w:t>
            </w:r>
          </w:p>
        </w:tc>
        <w:tc>
          <w:tcPr>
            <w:tcW w:w="0" w:type="auto"/>
            <w:vAlign w:val="top"/>
          </w:tcPr>
          <w:p w14:paraId="23B4B718"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349</w:t>
            </w:r>
          </w:p>
        </w:tc>
        <w:tc>
          <w:tcPr>
            <w:tcW w:w="0" w:type="auto"/>
            <w:vAlign w:val="top"/>
          </w:tcPr>
          <w:p w14:paraId="66E0D2A8"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30</w:t>
            </w:r>
          </w:p>
        </w:tc>
        <w:tc>
          <w:tcPr>
            <w:tcW w:w="0" w:type="auto"/>
            <w:vAlign w:val="top"/>
          </w:tcPr>
          <w:p w14:paraId="59FE670C"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9%</w:t>
            </w:r>
          </w:p>
        </w:tc>
      </w:tr>
      <w:tr w:rsidR="00902529" w14:paraId="1F374BBF"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73021E99" w14:textId="77777777" w:rsidR="00902529" w:rsidRPr="009D1467" w:rsidRDefault="00902529" w:rsidP="00F30544">
            <w:pPr>
              <w:pStyle w:val="TableauSchmaOrganigrammealignementgauche"/>
            </w:pPr>
            <w:r w:rsidRPr="00E234D0">
              <w:t>Institut Polytechnique de Paris</w:t>
            </w:r>
          </w:p>
        </w:tc>
        <w:tc>
          <w:tcPr>
            <w:tcW w:w="0" w:type="auto"/>
            <w:vAlign w:val="top"/>
          </w:tcPr>
          <w:p w14:paraId="335CC3FA"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488</w:t>
            </w:r>
          </w:p>
        </w:tc>
        <w:tc>
          <w:tcPr>
            <w:tcW w:w="0" w:type="auto"/>
            <w:vAlign w:val="top"/>
          </w:tcPr>
          <w:p w14:paraId="08D712FC"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28</w:t>
            </w:r>
          </w:p>
        </w:tc>
        <w:tc>
          <w:tcPr>
            <w:tcW w:w="0" w:type="auto"/>
            <w:vAlign w:val="top"/>
          </w:tcPr>
          <w:p w14:paraId="3DFFF3C3"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w:t>
            </w:r>
          </w:p>
        </w:tc>
      </w:tr>
      <w:tr w:rsidR="00902529" w14:paraId="716D267D"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276191F0" w14:textId="77777777" w:rsidR="00902529" w:rsidRPr="009D1467" w:rsidRDefault="00902529" w:rsidP="00F30544">
            <w:pPr>
              <w:pStyle w:val="TableauSchmaOrganigrammealignementgauche"/>
            </w:pPr>
            <w:r w:rsidRPr="00E234D0">
              <w:t>Université de Montpellier</w:t>
            </w:r>
          </w:p>
        </w:tc>
        <w:tc>
          <w:tcPr>
            <w:tcW w:w="0" w:type="auto"/>
            <w:vAlign w:val="top"/>
          </w:tcPr>
          <w:p w14:paraId="65287CD3"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181</w:t>
            </w:r>
          </w:p>
        </w:tc>
        <w:tc>
          <w:tcPr>
            <w:tcW w:w="0" w:type="auto"/>
            <w:vAlign w:val="top"/>
          </w:tcPr>
          <w:p w14:paraId="5D49A648"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27</w:t>
            </w:r>
          </w:p>
        </w:tc>
        <w:tc>
          <w:tcPr>
            <w:tcW w:w="0" w:type="auto"/>
            <w:vAlign w:val="top"/>
          </w:tcPr>
          <w:p w14:paraId="6D7D0D1E"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15%</w:t>
            </w:r>
          </w:p>
        </w:tc>
      </w:tr>
      <w:tr w:rsidR="00902529" w14:paraId="5DC4E243"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036A8D83" w14:textId="77777777" w:rsidR="00902529" w:rsidRPr="009D1467" w:rsidRDefault="00902529" w:rsidP="00F30544">
            <w:pPr>
              <w:pStyle w:val="TableauSchmaOrganigrammealignementgauche"/>
            </w:pPr>
            <w:r w:rsidRPr="00E234D0">
              <w:t>Ifremer</w:t>
            </w:r>
          </w:p>
        </w:tc>
        <w:tc>
          <w:tcPr>
            <w:tcW w:w="0" w:type="auto"/>
            <w:vAlign w:val="top"/>
          </w:tcPr>
          <w:p w14:paraId="29C3970F"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145</w:t>
            </w:r>
          </w:p>
        </w:tc>
        <w:tc>
          <w:tcPr>
            <w:tcW w:w="0" w:type="auto"/>
            <w:vAlign w:val="top"/>
          </w:tcPr>
          <w:p w14:paraId="4F86E454"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25</w:t>
            </w:r>
          </w:p>
        </w:tc>
        <w:tc>
          <w:tcPr>
            <w:tcW w:w="0" w:type="auto"/>
            <w:vAlign w:val="top"/>
          </w:tcPr>
          <w:p w14:paraId="04F2481B"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17%</w:t>
            </w:r>
          </w:p>
        </w:tc>
      </w:tr>
      <w:tr w:rsidR="00902529" w14:paraId="105D0CBB"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652915DB" w14:textId="77777777" w:rsidR="00902529" w:rsidRPr="009D1467" w:rsidRDefault="00902529" w:rsidP="00F30544">
            <w:pPr>
              <w:pStyle w:val="TableauSchmaOrganigrammealignementgauche"/>
            </w:pPr>
            <w:r w:rsidRPr="00E234D0">
              <w:t>Université Paris Cité</w:t>
            </w:r>
          </w:p>
        </w:tc>
        <w:tc>
          <w:tcPr>
            <w:tcW w:w="0" w:type="auto"/>
            <w:vAlign w:val="top"/>
          </w:tcPr>
          <w:p w14:paraId="74385383"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339</w:t>
            </w:r>
          </w:p>
        </w:tc>
        <w:tc>
          <w:tcPr>
            <w:tcW w:w="0" w:type="auto"/>
            <w:vAlign w:val="top"/>
          </w:tcPr>
          <w:p w14:paraId="2FE8CA71"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21</w:t>
            </w:r>
          </w:p>
        </w:tc>
        <w:tc>
          <w:tcPr>
            <w:tcW w:w="0" w:type="auto"/>
            <w:vAlign w:val="top"/>
          </w:tcPr>
          <w:p w14:paraId="10AB22A7"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w:t>
            </w:r>
          </w:p>
        </w:tc>
      </w:tr>
      <w:tr w:rsidR="00902529" w14:paraId="74ECFE99"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CBE0DEA" w14:textId="77777777" w:rsidR="00902529" w:rsidRPr="009D1467" w:rsidRDefault="00902529" w:rsidP="00F30544">
            <w:pPr>
              <w:pStyle w:val="TableauSchmaOrganigrammealignementgauche"/>
            </w:pPr>
            <w:r w:rsidRPr="00E234D0">
              <w:t xml:space="preserve">Université Grenoble </w:t>
            </w:r>
            <w:r w:rsidRPr="009D1467">
              <w:t>Alpes</w:t>
            </w:r>
          </w:p>
        </w:tc>
        <w:tc>
          <w:tcPr>
            <w:tcW w:w="0" w:type="auto"/>
            <w:vAlign w:val="top"/>
          </w:tcPr>
          <w:p w14:paraId="0228BBC1"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220</w:t>
            </w:r>
          </w:p>
        </w:tc>
        <w:tc>
          <w:tcPr>
            <w:tcW w:w="0" w:type="auto"/>
            <w:vAlign w:val="top"/>
          </w:tcPr>
          <w:p w14:paraId="6FB7843F"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19</w:t>
            </w:r>
          </w:p>
        </w:tc>
        <w:tc>
          <w:tcPr>
            <w:tcW w:w="0" w:type="auto"/>
            <w:vAlign w:val="top"/>
          </w:tcPr>
          <w:p w14:paraId="6E595A60"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9%</w:t>
            </w:r>
          </w:p>
        </w:tc>
      </w:tr>
      <w:tr w:rsidR="00902529" w14:paraId="5201E829"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42F018CF" w14:textId="77777777" w:rsidR="00902529" w:rsidRPr="009D1467" w:rsidRDefault="00902529" w:rsidP="00F30544">
            <w:pPr>
              <w:pStyle w:val="TableauSchmaOrganigrammealignementgauche"/>
            </w:pPr>
            <w:r w:rsidRPr="00E234D0">
              <w:t>MNHN</w:t>
            </w:r>
          </w:p>
        </w:tc>
        <w:tc>
          <w:tcPr>
            <w:tcW w:w="0" w:type="auto"/>
            <w:vAlign w:val="top"/>
          </w:tcPr>
          <w:p w14:paraId="0FF4A654"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299</w:t>
            </w:r>
          </w:p>
        </w:tc>
        <w:tc>
          <w:tcPr>
            <w:tcW w:w="0" w:type="auto"/>
            <w:vAlign w:val="top"/>
          </w:tcPr>
          <w:p w14:paraId="379D91EC"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18</w:t>
            </w:r>
          </w:p>
        </w:tc>
        <w:tc>
          <w:tcPr>
            <w:tcW w:w="0" w:type="auto"/>
            <w:vAlign w:val="top"/>
          </w:tcPr>
          <w:p w14:paraId="32F3E76C"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6%</w:t>
            </w:r>
          </w:p>
        </w:tc>
      </w:tr>
      <w:tr w:rsidR="00902529" w14:paraId="78CF5078"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2E344323" w14:textId="77777777" w:rsidR="00902529" w:rsidRPr="009D1467" w:rsidRDefault="00902529" w:rsidP="00F30544">
            <w:pPr>
              <w:pStyle w:val="TableauSchmaOrganigrammealignementgauche"/>
            </w:pPr>
            <w:r w:rsidRPr="00E234D0">
              <w:t>Aix Marseille Université</w:t>
            </w:r>
          </w:p>
        </w:tc>
        <w:tc>
          <w:tcPr>
            <w:tcW w:w="0" w:type="auto"/>
            <w:vAlign w:val="top"/>
          </w:tcPr>
          <w:p w14:paraId="2600722E"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127</w:t>
            </w:r>
          </w:p>
        </w:tc>
        <w:tc>
          <w:tcPr>
            <w:tcW w:w="0" w:type="auto"/>
            <w:vAlign w:val="top"/>
          </w:tcPr>
          <w:p w14:paraId="7A2907BA"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18</w:t>
            </w:r>
          </w:p>
        </w:tc>
        <w:tc>
          <w:tcPr>
            <w:tcW w:w="0" w:type="auto"/>
            <w:vAlign w:val="top"/>
          </w:tcPr>
          <w:p w14:paraId="131A738B" w14:textId="77777777" w:rsidR="00902529" w:rsidRPr="009D1467"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234D0">
              <w:t>14%</w:t>
            </w:r>
          </w:p>
        </w:tc>
      </w:tr>
    </w:tbl>
    <w:p w14:paraId="444EF58B" w14:textId="3E1667E9" w:rsidR="00902529" w:rsidRPr="00900F0D" w:rsidRDefault="00902529" w:rsidP="00902529">
      <w:pPr>
        <w:pStyle w:val="TexteSource"/>
      </w:pPr>
      <w:r>
        <w:t>Source :</w:t>
      </w:r>
      <w:r w:rsidRPr="009D1467">
        <w:t xml:space="preserve"> analyses Cour des comptes d’après les citations du GIEC (6e cycle) croisées avec l’outil Hal. La recherche pour l’adaptation correspond aux publications citées par le groupe 1 ou le groupe 2 du GIEC. La recherche en adaptation est identifiée par application d’un filtre sémantique dérivé de Nalau et Verall sur l’ensemble des publications citées par le GIEC pour les opérateurs concernés.</w:t>
      </w:r>
      <w:r w:rsidR="00781CA0">
        <w:t xml:space="preserve"> </w:t>
      </w:r>
      <w:r w:rsidR="00781CA0" w:rsidRPr="00781CA0">
        <w:t>Comme l’indique Météo France dans le cadre ses échanges avec la Cour, il serait également intéressant de pouvoir réaliser des analyses complémentaires en fonction du nombre de personnels de recherche affectés par les différents opérateurs de recherche au sein des unités mixtes de recherche. Cette approche ne peut toutefois pas être mise en œuvre sur la base des données actuellement mobilisables</w:t>
      </w:r>
      <w:r w:rsidR="00781CA0" w:rsidRPr="00781CA0">
        <w:rPr>
          <w:vertAlign w:val="superscript"/>
        </w:rPr>
        <w:footnoteReference w:id="24"/>
      </w:r>
      <w:r w:rsidR="00781CA0" w:rsidRPr="00781CA0">
        <w:t>.</w:t>
      </w:r>
    </w:p>
    <w:p w14:paraId="242EA958" w14:textId="77777777" w:rsidR="00902529" w:rsidRPr="0039034A" w:rsidRDefault="00902529" w:rsidP="00902529">
      <w:pPr>
        <w:pStyle w:val="Titregraphique"/>
        <w:spacing w:before="400"/>
        <w:rPr>
          <w:lang w:eastAsia="fr-FR"/>
        </w:rPr>
      </w:pPr>
      <w:r>
        <w:lastRenderedPageBreak/>
        <w:t xml:space="preserve">Profils de citations des 20 premiers opérateurs de la recherche en adaptation </w:t>
      </w:r>
      <w:r>
        <w:br/>
        <w:t>(en %)</w:t>
      </w:r>
    </w:p>
    <w:p w14:paraId="2D235243" w14:textId="77777777" w:rsidR="00902529" w:rsidRDefault="00902529" w:rsidP="00902529">
      <w:pPr>
        <w:pStyle w:val="TableauSchmaOrganigrammealignementgauche"/>
      </w:pPr>
      <w:r>
        <w:rPr>
          <w:noProof/>
        </w:rPr>
        <w:drawing>
          <wp:inline distT="0" distB="0" distL="0" distR="0" wp14:anchorId="229FAB1E" wp14:editId="62747005">
            <wp:extent cx="5331125" cy="3321002"/>
            <wp:effectExtent l="0" t="0" r="3175"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57292" cy="3337303"/>
                    </a:xfrm>
                    <a:prstGeom prst="rect">
                      <a:avLst/>
                    </a:prstGeom>
                    <a:noFill/>
                  </pic:spPr>
                </pic:pic>
              </a:graphicData>
            </a:graphic>
          </wp:inline>
        </w:drawing>
      </w:r>
    </w:p>
    <w:p w14:paraId="3F179E25" w14:textId="77777777" w:rsidR="00902529" w:rsidRPr="003668F0" w:rsidRDefault="00902529" w:rsidP="00902529">
      <w:pPr>
        <w:pStyle w:val="TexteSource"/>
      </w:pPr>
    </w:p>
    <w:p w14:paraId="081AC810" w14:textId="7FA82A7C" w:rsidR="00902529" w:rsidRDefault="00902529" w:rsidP="00902529">
      <w:pPr>
        <w:pStyle w:val="TexteSource"/>
      </w:pPr>
      <w:r w:rsidRPr="003771A7">
        <w:t>Source : analyses Cour des comptes d’après les citations du GIEC (6e cycle) croisées avec l’outil Hal.</w:t>
      </w:r>
      <w:r>
        <w:t xml:space="preserve"> Le numéro indiqué en vis-à-vis de chaque opérateur de recherche indique le groupe du GIEC où il est le plus cité.</w:t>
      </w:r>
    </w:p>
    <w:p w14:paraId="7172DC31" w14:textId="6AD7813C" w:rsidR="009E5E2B" w:rsidRDefault="009E5E2B" w:rsidP="009E5E2B">
      <w:pPr>
        <w:rPr>
          <w:lang w:eastAsia="fr-FR"/>
        </w:rPr>
      </w:pPr>
    </w:p>
    <w:p w14:paraId="31624002" w14:textId="77777777" w:rsidR="009E5E2B" w:rsidRDefault="009E5E2B" w:rsidP="009E5E2B">
      <w:pPr>
        <w:pStyle w:val="ENCADR-Titre"/>
      </w:pPr>
      <w:r w:rsidRPr="00E24494">
        <w:t>Quelques exemples de structurations intégratives dans le domaine de la recherche en soutenabilité</w:t>
      </w:r>
    </w:p>
    <w:p w14:paraId="213E4FA4" w14:textId="1D157162" w:rsidR="009E5E2B" w:rsidRDefault="009E5E2B" w:rsidP="009E5E2B">
      <w:pPr>
        <w:pStyle w:val="ENCADR-Texte"/>
      </w:pPr>
      <w:r>
        <w:t>Un comparatif international réalisé par la Cour à partir des travaux cités par le GIEC et croisés avec la base Hal du CNRS (voir graphique ci-dessous) indique que cinq grandes structures qui collaborent activement avec les acteurs de la recherche française présentent des profils équilibrés entre les trois groupes du GIEC : l’université de Californie aux Etats-Unis, le CSIRO australien, le c</w:t>
      </w:r>
      <w:r w:rsidRPr="00A51C9D">
        <w:t>onseil supérieur de la recherche scientifique</w:t>
      </w:r>
      <w:r>
        <w:t xml:space="preserve"> espagnol, ainsi que l’université de Wageningen aux Pays-Bas et le Potsdam institute for climate impact research allemand. </w:t>
      </w:r>
    </w:p>
    <w:p w14:paraId="6E8201EB" w14:textId="77777777" w:rsidR="009E5E2B" w:rsidRDefault="009E5E2B" w:rsidP="009E5E2B">
      <w:pPr>
        <w:pStyle w:val="ENCADR-Texte"/>
      </w:pPr>
      <w:r>
        <w:t xml:space="preserve">Si les trois premières structures étrangères identifiées sont multisites à l’image des grands opérateurs français que sont le CNRS et à l’Inraé, les deux dernières concentrent leurs forces scientifiques sur des sites uniques. L’université de Wageningen est positionnée en tant qu’université mondiale de référence dans les secteurs de l’agriculture et de l’environnement. </w:t>
      </w:r>
      <w:r w:rsidRPr="004449B3">
        <w:t>Le Potsdam institute for climate impact resea</w:t>
      </w:r>
      <w:r>
        <w:t>r</w:t>
      </w:r>
      <w:r w:rsidRPr="004449B3">
        <w:t xml:space="preserve">ch (PIK) </w:t>
      </w:r>
      <w:r>
        <w:t>a un positionnement ciblé sur les enjeux climatiques et de soutenabilité planétaire ; il fait donc l’objet d’un développement spécifique.</w:t>
      </w:r>
    </w:p>
    <w:p w14:paraId="0C908F2F" w14:textId="77777777" w:rsidR="009E5E2B" w:rsidRDefault="009E5E2B" w:rsidP="009E5E2B">
      <w:pPr>
        <w:pStyle w:val="ENCADR-Texte"/>
      </w:pPr>
      <w:r>
        <w:t xml:space="preserve">Fondé en 1992, le PIK est une organisation à but non-lucratif qui </w:t>
      </w:r>
      <w:r w:rsidRPr="00647C5A">
        <w:t>réalise des études interdisciplinaires en lien avec la recherche pour l’adaptation dans de nombreux secteurs, y compris dans le domaine de la santé</w:t>
      </w:r>
      <w:r>
        <w:t xml:space="preserve">. En 2022, </w:t>
      </w:r>
      <w:r w:rsidRPr="001F18C2">
        <w:t>son budget est de 31,5 M€</w:t>
      </w:r>
      <w:r w:rsidRPr="001F18C2">
        <w:rPr>
          <w:rStyle w:val="Appelnotedebasdep"/>
        </w:rPr>
        <w:footnoteReference w:id="25"/>
      </w:r>
      <w:r>
        <w:t xml:space="preserve"> et il emploie 407 personnes regroupées dans la ville allemande de Potsdam, à proximité de Berlin. </w:t>
      </w:r>
      <w:r w:rsidRPr="00E00C04">
        <w:t>L</w:t>
      </w:r>
      <w:r>
        <w:t>’initiative</w:t>
      </w:r>
      <w:r w:rsidRPr="00E00C04">
        <w:t xml:space="preserve"> ISIMIP</w:t>
      </w:r>
      <w:r>
        <w:rPr>
          <w:rStyle w:val="Appelnotedebasdep"/>
        </w:rPr>
        <w:footnoteReference w:id="26"/>
      </w:r>
      <w:r w:rsidRPr="00E00C04">
        <w:t xml:space="preserve"> </w:t>
      </w:r>
      <w:r>
        <w:t>coordonnée par le PIK</w:t>
      </w:r>
      <w:r w:rsidRPr="00E00C04">
        <w:t xml:space="preserve"> </w:t>
      </w:r>
      <w:r>
        <w:t xml:space="preserve">développe </w:t>
      </w:r>
      <w:r w:rsidRPr="00E00C04">
        <w:t xml:space="preserve">des jeux de données </w:t>
      </w:r>
      <w:r w:rsidRPr="00E00C04">
        <w:lastRenderedPageBreak/>
        <w:t xml:space="preserve">climatiques et socioéconomiques dans le but de proposer des analyses d’impacts </w:t>
      </w:r>
      <w:r>
        <w:t xml:space="preserve">pour de nombreux secteurs. Ces éléments sont mis à disposition du public dans le cadre du projet </w:t>
      </w:r>
      <w:proofErr w:type="spellStart"/>
      <w:r>
        <w:t>ISIpedia</w:t>
      </w:r>
      <w:proofErr w:type="spellEnd"/>
      <w:r>
        <w:rPr>
          <w:rStyle w:val="Appelnotedebasdep"/>
        </w:rPr>
        <w:footnoteReference w:id="27"/>
      </w:r>
      <w:r>
        <w:t xml:space="preserve">, également coordonné par le PIK, avec des financements européens et français. Le LSCE, première fédération de recherche française des sciences du climat, a contribué aux projets ISMIP et </w:t>
      </w:r>
      <w:proofErr w:type="spellStart"/>
      <w:r>
        <w:t>ISIpedia</w:t>
      </w:r>
      <w:proofErr w:type="spellEnd"/>
      <w:r>
        <w:t xml:space="preserve">. </w:t>
      </w:r>
    </w:p>
    <w:p w14:paraId="20D1A676" w14:textId="77777777" w:rsidR="009E5E2B" w:rsidRPr="00E24494" w:rsidRDefault="009E5E2B" w:rsidP="009E5E2B">
      <w:pPr>
        <w:pStyle w:val="ENCADR-Texte"/>
      </w:pPr>
      <w:r>
        <w:t>En France, la restructuration de l’université de la Rochelle autour d’une stratégie de formation et de recherche ciblée sur les enjeux littoraux constitue un autre exemple d’initiative originale, même si la Cour observe que le profil de cet établissement demeure polarisé sur le groupe 2 du GIEC, en raison notamment de lacunes dans le domaine de l’économie.</w:t>
      </w:r>
    </w:p>
    <w:p w14:paraId="07D6871C" w14:textId="77777777" w:rsidR="00902529" w:rsidRDefault="00902529" w:rsidP="00902529">
      <w:pPr>
        <w:pStyle w:val="Titregraphique"/>
        <w:spacing w:before="400"/>
      </w:pPr>
      <w:r>
        <w:t> Comparaison internationale du profil d’opérateurs de recherche collaborant avec la France</w:t>
      </w:r>
    </w:p>
    <w:p w14:paraId="4C09FB49" w14:textId="77777777" w:rsidR="00902529" w:rsidRDefault="00902529" w:rsidP="00902529">
      <w:r w:rsidRPr="005C5BAC">
        <w:rPr>
          <w:noProof/>
        </w:rPr>
        <w:drawing>
          <wp:inline distT="0" distB="0" distL="0" distR="0" wp14:anchorId="27FA4CA8" wp14:editId="485B7E88">
            <wp:extent cx="3960495" cy="3940810"/>
            <wp:effectExtent l="0" t="0" r="1905" b="254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960495" cy="3940810"/>
                    </a:xfrm>
                    <a:prstGeom prst="rect">
                      <a:avLst/>
                    </a:prstGeom>
                  </pic:spPr>
                </pic:pic>
              </a:graphicData>
            </a:graphic>
          </wp:inline>
        </w:drawing>
      </w:r>
    </w:p>
    <w:p w14:paraId="35FA0F9D" w14:textId="53DCC601" w:rsidR="00902529" w:rsidRDefault="00902529" w:rsidP="00902529">
      <w:pPr>
        <w:pStyle w:val="TexteSource"/>
      </w:pPr>
      <w:r w:rsidRPr="003771A7">
        <w:t>Source : analyses Cour des comptes d’après les citations du GIEC (6e cycle) croisées avec l’outil HAL.</w:t>
      </w:r>
      <w:r>
        <w:t xml:space="preserve"> L’indice de spécialisation maximal correspond au ratio le plus élevé entre le nombre de citation dans un groupe du GIEC donné rapporté aux citations dans l’ensemble des groupes. Par construction, cet indice est compris entre 33 % (profil de citations parfaitement équilibré) et 100 % (profil de citations totalement spécialisé). Dans l’ensemble, l’indice de spécialisation maximal tend à décroître avec le nombre de publications citées</w:t>
      </w:r>
      <w:r>
        <w:rPr>
          <w:rStyle w:val="Appelnotedebasdep"/>
        </w:rPr>
        <w:footnoteReference w:id="28"/>
      </w:r>
      <w:r>
        <w:t>, avec quelques exceptions notables ici indiquées par des étiquettes. Légende des cinq établissements identifiés comme étant de grande taille et doté d’un profil équilibré : l’université de Californie aux Etats-Unis (« US_UC »), le CSIRO australien (« AU_CSIRO »), le c</w:t>
      </w:r>
      <w:r w:rsidRPr="00A51C9D">
        <w:t>onseil supérieur de la recherche scientifique</w:t>
      </w:r>
      <w:r>
        <w:t xml:space="preserve"> espagnol (« ES_CSIC »), ainsi que l’université de Wageningen aux Pays-Bas (« NL_WUR ») et le Potsdam institute for climate impact research allemand (« DE_PIK »).</w:t>
      </w:r>
    </w:p>
    <w:p w14:paraId="57A4EC07" w14:textId="2766C59E" w:rsidR="00CF01AF" w:rsidRDefault="00CF01AF" w:rsidP="00CF01AF">
      <w:pPr>
        <w:rPr>
          <w:lang w:eastAsia="fr-FR"/>
        </w:rPr>
      </w:pPr>
    </w:p>
    <w:p w14:paraId="4E13BC3F" w14:textId="77777777" w:rsidR="00CF01AF" w:rsidRDefault="00CF01AF" w:rsidP="00CF01AF">
      <w:pPr>
        <w:pStyle w:val="ENCADR-Titre"/>
      </w:pPr>
      <w:r>
        <w:lastRenderedPageBreak/>
        <w:t>De nombreux laboratoires visibles et impliqués pour l’adaptation de la France au changement climatique</w:t>
      </w:r>
    </w:p>
    <w:p w14:paraId="66299CDE" w14:textId="4CE30E59" w:rsidR="00CF01AF" w:rsidRDefault="00CF01AF" w:rsidP="00CF01AF">
      <w:pPr>
        <w:pStyle w:val="ENCADR-Texte"/>
      </w:pPr>
      <w:r w:rsidRPr="00080BD7">
        <w:t>Afin de compléter ses observations quantitatives</w:t>
      </w:r>
      <w:r>
        <w:t xml:space="preserve"> (voir analyses ci-dessous)</w:t>
      </w:r>
      <w:r w:rsidRPr="00080BD7">
        <w:t>, et en complément des échanges</w:t>
      </w:r>
      <w:r>
        <w:t xml:space="preserve"> </w:t>
      </w:r>
      <w:r w:rsidRPr="00080BD7">
        <w:t xml:space="preserve">avec les tutelles, bailleurs, agences d’expertise et opérateurs de recherche (organismes et universités), la Cour a </w:t>
      </w:r>
      <w:r>
        <w:t>pris l’attache de</w:t>
      </w:r>
      <w:r w:rsidRPr="00080BD7">
        <w:t xml:space="preserve"> </w:t>
      </w:r>
      <w:r>
        <w:t xml:space="preserve">nombreux </w:t>
      </w:r>
      <w:r w:rsidRPr="00080BD7">
        <w:t>laboratoires</w:t>
      </w:r>
      <w:r>
        <w:t xml:space="preserve"> visibles dans le domaine de l’adaptation et répartis sur l’ensemble du territoire national </w:t>
      </w:r>
      <w:r w:rsidRPr="00080BD7">
        <w:t>(Ile-de-France, métropoles de Toulouse et Grenoble</w:t>
      </w:r>
      <w:r>
        <w:t>, La Rochelle ainsi que Kourou en Guyane</w:t>
      </w:r>
      <w:r w:rsidRPr="00080BD7">
        <w:t>)</w:t>
      </w:r>
      <w:r>
        <w:t>. Elle a également échangé avec</w:t>
      </w:r>
      <w:r w:rsidRPr="00080BD7">
        <w:t xml:space="preserve"> deux fédérations de laboratoires (</w:t>
      </w:r>
      <w:r>
        <w:t>institut Pierre-Simon Laplace</w:t>
      </w:r>
      <w:r w:rsidRPr="00080BD7">
        <w:t xml:space="preserve"> </w:t>
      </w:r>
      <w:r>
        <w:t xml:space="preserve">en Ile-de-France </w:t>
      </w:r>
      <w:r w:rsidRPr="00080BD7">
        <w:t>et</w:t>
      </w:r>
      <w:r>
        <w:t xml:space="preserve"> observatoire des sciences de l’univers de Grenoble</w:t>
      </w:r>
      <w:r w:rsidRPr="00080BD7">
        <w:t>)</w:t>
      </w:r>
      <w:r>
        <w:t xml:space="preserve"> qui concentrent de nombreuses forces dans ces domaines. </w:t>
      </w:r>
    </w:p>
    <w:p w14:paraId="6573E4A3" w14:textId="77777777" w:rsidR="00CF01AF" w:rsidRPr="0000561F" w:rsidRDefault="00CF01AF" w:rsidP="00CF01AF">
      <w:pPr>
        <w:pStyle w:val="ENCADR-Texte"/>
      </w:pPr>
      <w:r>
        <w:t>Quelle que soit leur positionnement, l</w:t>
      </w:r>
      <w:r w:rsidRPr="00080BD7">
        <w:t>’ensemble de ces acteurs sont visibles au sein des rapports du GIEC. La Cour a</w:t>
      </w:r>
      <w:r>
        <w:t xml:space="preserve"> </w:t>
      </w:r>
      <w:r w:rsidRPr="00080BD7">
        <w:t>pu constater la très large palette de solutions et d’expertise pour l’adaptation proposé</w:t>
      </w:r>
      <w:r>
        <w:t>e</w:t>
      </w:r>
      <w:r w:rsidRPr="00080BD7">
        <w:t xml:space="preserve"> par ces laboratoires et leurs regroupements.</w:t>
      </w:r>
    </w:p>
    <w:p w14:paraId="2CB8111F" w14:textId="77777777" w:rsidR="00CF01AF" w:rsidRPr="001C1832" w:rsidRDefault="00CF01AF" w:rsidP="001C1832"/>
    <w:p w14:paraId="5535C9AF" w14:textId="77777777" w:rsidR="00902529" w:rsidRDefault="00902529" w:rsidP="00902529">
      <w:pPr>
        <w:pStyle w:val="Titretableau"/>
        <w:spacing w:before="400"/>
      </w:pPr>
      <w:r>
        <w:t> Poids et rayonnement général des laboratoires dans les domaines de la recherche pour l’adaptation et en adaptation.</w:t>
      </w:r>
    </w:p>
    <w:tbl>
      <w:tblPr>
        <w:tblStyle w:val="TABLEAURAPPORTPUBLICANNUEL"/>
        <w:tblW w:w="0" w:type="auto"/>
        <w:tblInd w:w="-737" w:type="dxa"/>
        <w:tblLook w:val="04A0" w:firstRow="1" w:lastRow="0" w:firstColumn="1" w:lastColumn="0" w:noHBand="0" w:noVBand="1"/>
      </w:tblPr>
      <w:tblGrid>
        <w:gridCol w:w="2032"/>
        <w:gridCol w:w="649"/>
        <w:gridCol w:w="2058"/>
        <w:gridCol w:w="1814"/>
        <w:gridCol w:w="1744"/>
        <w:gridCol w:w="1500"/>
      </w:tblGrid>
      <w:tr w:rsidR="00902529" w14:paraId="51AF3B21"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top"/>
          </w:tcPr>
          <w:p w14:paraId="0B871BA4" w14:textId="77777777" w:rsidR="00902529" w:rsidRPr="004D660E" w:rsidRDefault="00902529" w:rsidP="00F30544">
            <w:pPr>
              <w:pStyle w:val="TableauSchmaOrganigrammealignementgauche"/>
            </w:pPr>
            <w:r>
              <w:t>Nature du laboratoire</w:t>
            </w:r>
          </w:p>
        </w:tc>
        <w:tc>
          <w:tcPr>
            <w:tcW w:w="0" w:type="auto"/>
            <w:vAlign w:val="top"/>
          </w:tcPr>
          <w:p w14:paraId="593C069E" w14:textId="77777777" w:rsidR="00902529" w:rsidRPr="004D660E"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t>Total</w:t>
            </w:r>
          </w:p>
        </w:tc>
        <w:tc>
          <w:tcPr>
            <w:tcW w:w="0" w:type="auto"/>
            <w:vAlign w:val="top"/>
          </w:tcPr>
          <w:p w14:paraId="6ED6C365" w14:textId="77777777" w:rsidR="00902529" w:rsidRPr="004D660E"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t>Recherche pour l’adaptation</w:t>
            </w:r>
          </w:p>
        </w:tc>
        <w:tc>
          <w:tcPr>
            <w:tcW w:w="0" w:type="auto"/>
            <w:vAlign w:val="top"/>
          </w:tcPr>
          <w:p w14:paraId="4012FE64" w14:textId="77777777" w:rsidR="00902529" w:rsidRPr="004D660E"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t>Recherche en adaptation</w:t>
            </w:r>
          </w:p>
        </w:tc>
        <w:tc>
          <w:tcPr>
            <w:tcW w:w="0" w:type="auto"/>
            <w:vAlign w:val="top"/>
          </w:tcPr>
          <w:p w14:paraId="33B6102E" w14:textId="77777777" w:rsidR="00902529" w:rsidRPr="004D660E"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t>Part pour l’adaptation</w:t>
            </w:r>
          </w:p>
        </w:tc>
        <w:tc>
          <w:tcPr>
            <w:tcW w:w="0" w:type="auto"/>
            <w:vAlign w:val="top"/>
          </w:tcPr>
          <w:p w14:paraId="6A9783FC" w14:textId="77777777" w:rsidR="00902529" w:rsidRPr="004D660E"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t>Part en adaptation</w:t>
            </w:r>
          </w:p>
        </w:tc>
      </w:tr>
      <w:tr w:rsidR="00902529" w14:paraId="0E7CD19C"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4A7C3FFF" w14:textId="77777777" w:rsidR="00902529" w:rsidRPr="00006EEB" w:rsidRDefault="00902529" w:rsidP="00F30544">
            <w:pPr>
              <w:pStyle w:val="TableauSchmaOrganigrammealignementgauche"/>
            </w:pPr>
            <w:r w:rsidRPr="00006EEB">
              <w:t>Unité mixte</w:t>
            </w:r>
          </w:p>
        </w:tc>
        <w:tc>
          <w:tcPr>
            <w:tcW w:w="0" w:type="auto"/>
            <w:vAlign w:val="top"/>
          </w:tcPr>
          <w:p w14:paraId="1BAFFFC4"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w:t>
            </w:r>
            <w:r>
              <w:t> </w:t>
            </w:r>
            <w:r w:rsidRPr="00006EEB">
              <w:t>547</w:t>
            </w:r>
          </w:p>
        </w:tc>
        <w:tc>
          <w:tcPr>
            <w:tcW w:w="0" w:type="auto"/>
            <w:vAlign w:val="top"/>
          </w:tcPr>
          <w:p w14:paraId="49F3CBC8"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187</w:t>
            </w:r>
          </w:p>
        </w:tc>
        <w:tc>
          <w:tcPr>
            <w:tcW w:w="0" w:type="auto"/>
            <w:vAlign w:val="top"/>
          </w:tcPr>
          <w:p w14:paraId="28DD9FBC"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84</w:t>
            </w:r>
          </w:p>
        </w:tc>
        <w:tc>
          <w:tcPr>
            <w:tcW w:w="0" w:type="auto"/>
            <w:vAlign w:val="top"/>
          </w:tcPr>
          <w:p w14:paraId="5945AE3C"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12%</w:t>
            </w:r>
          </w:p>
        </w:tc>
        <w:tc>
          <w:tcPr>
            <w:tcW w:w="0" w:type="auto"/>
            <w:vAlign w:val="top"/>
          </w:tcPr>
          <w:p w14:paraId="613A23D0"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5%</w:t>
            </w:r>
          </w:p>
        </w:tc>
      </w:tr>
      <w:tr w:rsidR="00902529" w14:paraId="35239418"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6582087D" w14:textId="77777777" w:rsidR="00902529" w:rsidRPr="00006EEB" w:rsidRDefault="00902529" w:rsidP="00F30544">
            <w:pPr>
              <w:pStyle w:val="TableauSchmaOrganigrammealignementgauche"/>
            </w:pPr>
            <w:r w:rsidRPr="00006EEB">
              <w:t>Unité propre</w:t>
            </w:r>
            <w:r>
              <w:t xml:space="preserve"> </w:t>
            </w:r>
            <w:r>
              <w:br/>
              <w:t>(dont unités expérimentales)</w:t>
            </w:r>
          </w:p>
        </w:tc>
        <w:tc>
          <w:tcPr>
            <w:tcW w:w="0" w:type="auto"/>
            <w:vAlign w:val="top"/>
          </w:tcPr>
          <w:p w14:paraId="488C93CD"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w:t>
            </w:r>
            <w:r>
              <w:t> </w:t>
            </w:r>
            <w:r w:rsidRPr="00006EEB">
              <w:t>857</w:t>
            </w:r>
          </w:p>
        </w:tc>
        <w:tc>
          <w:tcPr>
            <w:tcW w:w="0" w:type="auto"/>
            <w:vAlign w:val="top"/>
          </w:tcPr>
          <w:p w14:paraId="540F0AFE"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43</w:t>
            </w:r>
          </w:p>
        </w:tc>
        <w:tc>
          <w:tcPr>
            <w:tcW w:w="0" w:type="auto"/>
            <w:vAlign w:val="top"/>
          </w:tcPr>
          <w:p w14:paraId="6025A536"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12</w:t>
            </w:r>
          </w:p>
        </w:tc>
        <w:tc>
          <w:tcPr>
            <w:tcW w:w="0" w:type="auto"/>
            <w:vAlign w:val="top"/>
          </w:tcPr>
          <w:p w14:paraId="1F3FFAE3"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2%</w:t>
            </w:r>
          </w:p>
        </w:tc>
        <w:tc>
          <w:tcPr>
            <w:tcW w:w="0" w:type="auto"/>
            <w:vAlign w:val="top"/>
          </w:tcPr>
          <w:p w14:paraId="74888A03"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w:t>
            </w:r>
          </w:p>
        </w:tc>
      </w:tr>
      <w:tr w:rsidR="00902529" w14:paraId="238782F2"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30F53210" w14:textId="77777777" w:rsidR="00902529" w:rsidRPr="00006EEB" w:rsidRDefault="00902529" w:rsidP="00F30544">
            <w:pPr>
              <w:pStyle w:val="TableauSchmaOrganigrammealignementgauche"/>
            </w:pPr>
            <w:r w:rsidRPr="00006EEB">
              <w:t>Unité mixte internationale</w:t>
            </w:r>
          </w:p>
        </w:tc>
        <w:tc>
          <w:tcPr>
            <w:tcW w:w="0" w:type="auto"/>
            <w:vAlign w:val="top"/>
          </w:tcPr>
          <w:p w14:paraId="498E6561"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47</w:t>
            </w:r>
          </w:p>
        </w:tc>
        <w:tc>
          <w:tcPr>
            <w:tcW w:w="0" w:type="auto"/>
            <w:vAlign w:val="top"/>
          </w:tcPr>
          <w:p w14:paraId="76D424B5"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w:t>
            </w:r>
          </w:p>
        </w:tc>
        <w:tc>
          <w:tcPr>
            <w:tcW w:w="0" w:type="auto"/>
            <w:vAlign w:val="top"/>
          </w:tcPr>
          <w:p w14:paraId="4391383A"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1</w:t>
            </w:r>
          </w:p>
        </w:tc>
        <w:tc>
          <w:tcPr>
            <w:tcW w:w="0" w:type="auto"/>
            <w:vAlign w:val="top"/>
          </w:tcPr>
          <w:p w14:paraId="3526E84E"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2%</w:t>
            </w:r>
          </w:p>
        </w:tc>
        <w:tc>
          <w:tcPr>
            <w:tcW w:w="0" w:type="auto"/>
            <w:vAlign w:val="top"/>
          </w:tcPr>
          <w:p w14:paraId="30AACD02" w14:textId="77777777" w:rsidR="00902529" w:rsidRPr="00006EE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006EEB">
              <w:t>2%</w:t>
            </w:r>
          </w:p>
        </w:tc>
      </w:tr>
      <w:tr w:rsidR="00902529" w14:paraId="1E69FAAD"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20B740C1" w14:textId="77777777" w:rsidR="00902529" w:rsidRPr="004D660E" w:rsidRDefault="00902529" w:rsidP="00F30544">
            <w:pPr>
              <w:pStyle w:val="TableauSchmaOrganigrammealignementgauche"/>
            </w:pPr>
            <w:r>
              <w:t>Ensemble des unités</w:t>
            </w:r>
          </w:p>
        </w:tc>
        <w:tc>
          <w:tcPr>
            <w:tcW w:w="0" w:type="auto"/>
            <w:vAlign w:val="top"/>
          </w:tcPr>
          <w:p w14:paraId="313BE07D" w14:textId="77777777" w:rsidR="00902529" w:rsidRPr="008D0947"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8D0947">
              <w:t>3</w:t>
            </w:r>
            <w:r>
              <w:t> </w:t>
            </w:r>
            <w:r w:rsidRPr="008D0947">
              <w:t>451</w:t>
            </w:r>
          </w:p>
        </w:tc>
        <w:tc>
          <w:tcPr>
            <w:tcW w:w="0" w:type="auto"/>
            <w:vAlign w:val="top"/>
          </w:tcPr>
          <w:p w14:paraId="611FF3F9" w14:textId="77777777" w:rsidR="00902529" w:rsidRPr="008D0947"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8D0947">
              <w:t>231</w:t>
            </w:r>
          </w:p>
        </w:tc>
        <w:tc>
          <w:tcPr>
            <w:tcW w:w="0" w:type="auto"/>
            <w:vAlign w:val="top"/>
          </w:tcPr>
          <w:p w14:paraId="21DF8C1F" w14:textId="77777777" w:rsidR="00902529" w:rsidRPr="008D0947"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8D0947">
              <w:t>97</w:t>
            </w:r>
          </w:p>
        </w:tc>
        <w:tc>
          <w:tcPr>
            <w:tcW w:w="0" w:type="auto"/>
            <w:vAlign w:val="top"/>
          </w:tcPr>
          <w:p w14:paraId="180F53FC" w14:textId="77777777" w:rsidR="00902529" w:rsidRPr="008D0947"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8D0947">
              <w:t>7%</w:t>
            </w:r>
          </w:p>
        </w:tc>
        <w:tc>
          <w:tcPr>
            <w:tcW w:w="0" w:type="auto"/>
            <w:vAlign w:val="top"/>
          </w:tcPr>
          <w:p w14:paraId="1F15B268" w14:textId="77777777" w:rsidR="00902529" w:rsidRPr="008D0947"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8D0947">
              <w:t>3%</w:t>
            </w:r>
          </w:p>
        </w:tc>
      </w:tr>
    </w:tbl>
    <w:p w14:paraId="62C28FD8" w14:textId="77777777" w:rsidR="00902529" w:rsidRPr="00006EEB" w:rsidRDefault="00902529" w:rsidP="00902529">
      <w:pPr>
        <w:pStyle w:val="TexteSource"/>
      </w:pPr>
      <w:r>
        <w:t>Source :</w:t>
      </w:r>
      <w:r w:rsidRPr="00006EEB">
        <w:t xml:space="preserve"> Source : analyses Cour des comptes d’après les citations du GIEC (6e cycle) croisées avec l</w:t>
      </w:r>
      <w:r>
        <w:t xml:space="preserve">es </w:t>
      </w:r>
      <w:r w:rsidRPr="00006EEB">
        <w:t>outil</w:t>
      </w:r>
      <w:r>
        <w:t>s</w:t>
      </w:r>
      <w:r w:rsidRPr="00006EEB">
        <w:t xml:space="preserve"> ha</w:t>
      </w:r>
      <w:r>
        <w:t>l et RNSR. Seul le grain des laboratoires est considéré.</w:t>
      </w:r>
    </w:p>
    <w:p w14:paraId="5D1538DE" w14:textId="77777777" w:rsidR="00902529" w:rsidRDefault="00902529" w:rsidP="00902529">
      <w:pPr>
        <w:pStyle w:val="Titretableau"/>
        <w:spacing w:before="400"/>
      </w:pPr>
      <w:r>
        <w:t> Estimation comparative des laboratoires mobilisés dans la recherche pour l’adaptation sur la base des réponses des opérateurs au questionnaire de la Cour</w:t>
      </w:r>
    </w:p>
    <w:tbl>
      <w:tblPr>
        <w:tblStyle w:val="TABLEAURAPPORTPUBLICANNUEL"/>
        <w:tblW w:w="0" w:type="auto"/>
        <w:tblInd w:w="-737" w:type="dxa"/>
        <w:tblLook w:val="04A0" w:firstRow="1" w:lastRow="0" w:firstColumn="1" w:lastColumn="0" w:noHBand="0" w:noVBand="1"/>
      </w:tblPr>
      <w:tblGrid>
        <w:gridCol w:w="1257"/>
        <w:gridCol w:w="1474"/>
        <w:gridCol w:w="2505"/>
        <w:gridCol w:w="2325"/>
        <w:gridCol w:w="2236"/>
      </w:tblGrid>
      <w:tr w:rsidR="00902529" w14:paraId="6FCB4EEA"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12338FF7" w14:textId="77777777" w:rsidR="00902529" w:rsidRPr="006A118D" w:rsidRDefault="00902529" w:rsidP="00F30544">
            <w:pPr>
              <w:pStyle w:val="TableauSchmaOrganigrammealignementgauche"/>
            </w:pPr>
            <w:r w:rsidRPr="006A118D">
              <w:t>Tutelle</w:t>
            </w:r>
          </w:p>
        </w:tc>
        <w:tc>
          <w:tcPr>
            <w:tcW w:w="0" w:type="auto"/>
            <w:vAlign w:val="bottom"/>
          </w:tcPr>
          <w:p w14:paraId="5F26BF1C" w14:textId="77777777" w:rsidR="00902529" w:rsidRPr="006A118D"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6A118D">
              <w:t>Nombre total de laboratoires</w:t>
            </w:r>
          </w:p>
        </w:tc>
        <w:tc>
          <w:tcPr>
            <w:tcW w:w="0" w:type="auto"/>
            <w:vAlign w:val="bottom"/>
          </w:tcPr>
          <w:p w14:paraId="6C7E80D7" w14:textId="77777777" w:rsidR="00902529" w:rsidRPr="006A118D"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6A118D">
              <w:t>Nombre de laboratoires actifs dans la recherche pour l'adaptation (réponses des opérateurs)</w:t>
            </w:r>
          </w:p>
        </w:tc>
        <w:tc>
          <w:tcPr>
            <w:tcW w:w="0" w:type="auto"/>
            <w:vAlign w:val="bottom"/>
          </w:tcPr>
          <w:p w14:paraId="4C21B8FB" w14:textId="77777777" w:rsidR="00902529" w:rsidRPr="006A118D"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6A118D">
              <w:t>Nombre de laboratoires cités par les groupes 1 et 2 du GIEC (analyse de la Cour)</w:t>
            </w:r>
          </w:p>
        </w:tc>
        <w:tc>
          <w:tcPr>
            <w:tcW w:w="0" w:type="auto"/>
            <w:vAlign w:val="bottom"/>
          </w:tcPr>
          <w:p w14:paraId="44C25F35" w14:textId="77777777" w:rsidR="00902529" w:rsidRPr="006A118D"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6A118D">
              <w:t>Part des laboratoires cités par le GIEC dans le total indiqué par l'opérateur</w:t>
            </w:r>
          </w:p>
        </w:tc>
      </w:tr>
      <w:tr w:rsidR="00902529" w14:paraId="4921219A"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659F5EF7" w14:textId="77777777" w:rsidR="00902529" w:rsidRPr="006A118D" w:rsidRDefault="00902529" w:rsidP="00F30544">
            <w:pPr>
              <w:pStyle w:val="TableauSchmaOrganigrammecentr"/>
            </w:pPr>
            <w:r w:rsidRPr="006A118D">
              <w:t>CNRS</w:t>
            </w:r>
          </w:p>
        </w:tc>
        <w:tc>
          <w:tcPr>
            <w:tcW w:w="0" w:type="auto"/>
            <w:vAlign w:val="bottom"/>
          </w:tcPr>
          <w:p w14:paraId="2E0B2297"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w:t>
            </w:r>
            <w:r>
              <w:t> </w:t>
            </w:r>
            <w:r w:rsidRPr="006A118D">
              <w:t>161</w:t>
            </w:r>
          </w:p>
        </w:tc>
        <w:tc>
          <w:tcPr>
            <w:tcW w:w="0" w:type="auto"/>
            <w:vAlign w:val="bottom"/>
          </w:tcPr>
          <w:p w14:paraId="7C3AD42B"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241</w:t>
            </w:r>
          </w:p>
        </w:tc>
        <w:tc>
          <w:tcPr>
            <w:tcW w:w="0" w:type="auto"/>
            <w:vAlign w:val="bottom"/>
          </w:tcPr>
          <w:p w14:paraId="77EA633D"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148</w:t>
            </w:r>
          </w:p>
        </w:tc>
        <w:tc>
          <w:tcPr>
            <w:tcW w:w="0" w:type="auto"/>
            <w:vAlign w:val="bottom"/>
          </w:tcPr>
          <w:p w14:paraId="75EE1178"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61%</w:t>
            </w:r>
          </w:p>
        </w:tc>
      </w:tr>
      <w:tr w:rsidR="00902529" w14:paraId="23CFF83F"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1712F846" w14:textId="77777777" w:rsidR="00902529" w:rsidRPr="006A118D" w:rsidRDefault="00902529" w:rsidP="00F30544">
            <w:pPr>
              <w:pStyle w:val="TableauSchmaOrganigrammecentr"/>
            </w:pPr>
            <w:r w:rsidRPr="006A118D">
              <w:t>Inra</w:t>
            </w:r>
            <w:r>
              <w:t>é</w:t>
            </w:r>
          </w:p>
        </w:tc>
        <w:tc>
          <w:tcPr>
            <w:tcW w:w="0" w:type="auto"/>
            <w:vAlign w:val="bottom"/>
          </w:tcPr>
          <w:p w14:paraId="4DCB5B6A"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256</w:t>
            </w:r>
          </w:p>
        </w:tc>
        <w:tc>
          <w:tcPr>
            <w:tcW w:w="0" w:type="auto"/>
            <w:vAlign w:val="bottom"/>
          </w:tcPr>
          <w:p w14:paraId="0D7EBE03"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145</w:t>
            </w:r>
          </w:p>
        </w:tc>
        <w:tc>
          <w:tcPr>
            <w:tcW w:w="0" w:type="auto"/>
            <w:vAlign w:val="bottom"/>
          </w:tcPr>
          <w:p w14:paraId="524C3E06"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49</w:t>
            </w:r>
          </w:p>
        </w:tc>
        <w:tc>
          <w:tcPr>
            <w:tcW w:w="0" w:type="auto"/>
            <w:vAlign w:val="bottom"/>
          </w:tcPr>
          <w:p w14:paraId="51F44A37"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34%</w:t>
            </w:r>
          </w:p>
        </w:tc>
      </w:tr>
      <w:tr w:rsidR="00902529" w14:paraId="1DCC9446"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7C7361AC" w14:textId="77777777" w:rsidR="00902529" w:rsidRPr="006A118D" w:rsidRDefault="00902529" w:rsidP="00F30544">
            <w:pPr>
              <w:pStyle w:val="TableauSchmaOrganigrammecentr"/>
            </w:pPr>
            <w:r w:rsidRPr="006A118D">
              <w:t>IRD</w:t>
            </w:r>
          </w:p>
        </w:tc>
        <w:tc>
          <w:tcPr>
            <w:tcW w:w="0" w:type="auto"/>
            <w:vAlign w:val="bottom"/>
          </w:tcPr>
          <w:p w14:paraId="71770D0D"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65</w:t>
            </w:r>
          </w:p>
        </w:tc>
        <w:tc>
          <w:tcPr>
            <w:tcW w:w="0" w:type="auto"/>
            <w:vAlign w:val="bottom"/>
          </w:tcPr>
          <w:p w14:paraId="7F3C9871"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41</w:t>
            </w:r>
          </w:p>
        </w:tc>
        <w:tc>
          <w:tcPr>
            <w:tcW w:w="0" w:type="auto"/>
            <w:vAlign w:val="bottom"/>
          </w:tcPr>
          <w:p w14:paraId="52B11678"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33</w:t>
            </w:r>
          </w:p>
        </w:tc>
        <w:tc>
          <w:tcPr>
            <w:tcW w:w="0" w:type="auto"/>
            <w:vAlign w:val="bottom"/>
          </w:tcPr>
          <w:p w14:paraId="6EB7D754"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80%</w:t>
            </w:r>
          </w:p>
        </w:tc>
      </w:tr>
      <w:tr w:rsidR="00902529" w14:paraId="77BF6C66"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4C61047D" w14:textId="77777777" w:rsidR="00902529" w:rsidRPr="006A118D" w:rsidRDefault="00902529" w:rsidP="00F30544">
            <w:pPr>
              <w:pStyle w:val="TableauSchmaOrganigrammecentr"/>
            </w:pPr>
            <w:r w:rsidRPr="006A118D">
              <w:t>Cirad</w:t>
            </w:r>
          </w:p>
        </w:tc>
        <w:tc>
          <w:tcPr>
            <w:tcW w:w="0" w:type="auto"/>
            <w:vAlign w:val="bottom"/>
          </w:tcPr>
          <w:p w14:paraId="40F61F0E"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28</w:t>
            </w:r>
          </w:p>
        </w:tc>
        <w:tc>
          <w:tcPr>
            <w:tcW w:w="0" w:type="auto"/>
            <w:vAlign w:val="bottom"/>
          </w:tcPr>
          <w:p w14:paraId="3D12284A"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27</w:t>
            </w:r>
          </w:p>
        </w:tc>
        <w:tc>
          <w:tcPr>
            <w:tcW w:w="0" w:type="auto"/>
            <w:vAlign w:val="bottom"/>
          </w:tcPr>
          <w:p w14:paraId="7CA06E4E"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21</w:t>
            </w:r>
          </w:p>
        </w:tc>
        <w:tc>
          <w:tcPr>
            <w:tcW w:w="0" w:type="auto"/>
            <w:vAlign w:val="bottom"/>
          </w:tcPr>
          <w:p w14:paraId="31B494DB"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78%</w:t>
            </w:r>
          </w:p>
        </w:tc>
      </w:tr>
      <w:tr w:rsidR="00902529" w14:paraId="620971C4"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05AE72E7" w14:textId="77777777" w:rsidR="00902529" w:rsidRPr="006A118D" w:rsidRDefault="00902529" w:rsidP="00F30544">
            <w:pPr>
              <w:pStyle w:val="TableauSchmaOrganigrammecentr"/>
            </w:pPr>
            <w:r>
              <w:t>Inserm</w:t>
            </w:r>
          </w:p>
        </w:tc>
        <w:tc>
          <w:tcPr>
            <w:tcW w:w="0" w:type="auto"/>
            <w:vAlign w:val="bottom"/>
          </w:tcPr>
          <w:p w14:paraId="107AC67C"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367</w:t>
            </w:r>
          </w:p>
        </w:tc>
        <w:tc>
          <w:tcPr>
            <w:tcW w:w="0" w:type="auto"/>
            <w:vAlign w:val="bottom"/>
          </w:tcPr>
          <w:p w14:paraId="511D5039"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5</w:t>
            </w:r>
          </w:p>
        </w:tc>
        <w:tc>
          <w:tcPr>
            <w:tcW w:w="0" w:type="auto"/>
            <w:vAlign w:val="bottom"/>
          </w:tcPr>
          <w:p w14:paraId="6C9B77FE"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7</w:t>
            </w:r>
          </w:p>
        </w:tc>
        <w:tc>
          <w:tcPr>
            <w:tcW w:w="0" w:type="auto"/>
            <w:vAlign w:val="bottom"/>
          </w:tcPr>
          <w:p w14:paraId="23572A96"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140%</w:t>
            </w:r>
          </w:p>
        </w:tc>
      </w:tr>
      <w:tr w:rsidR="00902529" w14:paraId="3F827B2C"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1F5E4BAA" w14:textId="77777777" w:rsidR="00902529" w:rsidRPr="006A118D" w:rsidRDefault="00902529" w:rsidP="00F30544">
            <w:pPr>
              <w:pStyle w:val="TableauSchmaOrganigrammecentr"/>
            </w:pPr>
            <w:r w:rsidRPr="006A118D">
              <w:t>CEA</w:t>
            </w:r>
          </w:p>
        </w:tc>
        <w:tc>
          <w:tcPr>
            <w:tcW w:w="0" w:type="auto"/>
            <w:vAlign w:val="bottom"/>
          </w:tcPr>
          <w:p w14:paraId="7F897BF7"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127</w:t>
            </w:r>
          </w:p>
        </w:tc>
        <w:tc>
          <w:tcPr>
            <w:tcW w:w="0" w:type="auto"/>
            <w:vAlign w:val="bottom"/>
          </w:tcPr>
          <w:p w14:paraId="5865B04F"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4</w:t>
            </w:r>
          </w:p>
        </w:tc>
        <w:tc>
          <w:tcPr>
            <w:tcW w:w="0" w:type="auto"/>
            <w:vAlign w:val="bottom"/>
          </w:tcPr>
          <w:p w14:paraId="5029B106"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5</w:t>
            </w:r>
          </w:p>
        </w:tc>
        <w:tc>
          <w:tcPr>
            <w:tcW w:w="0" w:type="auto"/>
            <w:vAlign w:val="bottom"/>
          </w:tcPr>
          <w:p w14:paraId="6A79035A"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125%</w:t>
            </w:r>
          </w:p>
        </w:tc>
      </w:tr>
      <w:tr w:rsidR="00902529" w14:paraId="6D7CA6BC"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0BBC1AE8" w14:textId="77777777" w:rsidR="00902529" w:rsidRPr="006A118D" w:rsidRDefault="00902529" w:rsidP="00F30544">
            <w:pPr>
              <w:pStyle w:val="TableauSchmaOrganigrammecentr"/>
            </w:pPr>
            <w:r w:rsidRPr="006A118D">
              <w:t>Université Grenoble Alpes</w:t>
            </w:r>
          </w:p>
        </w:tc>
        <w:tc>
          <w:tcPr>
            <w:tcW w:w="0" w:type="auto"/>
            <w:vAlign w:val="bottom"/>
          </w:tcPr>
          <w:p w14:paraId="4A60FA8A"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89</w:t>
            </w:r>
          </w:p>
        </w:tc>
        <w:tc>
          <w:tcPr>
            <w:tcW w:w="0" w:type="auto"/>
            <w:vAlign w:val="bottom"/>
          </w:tcPr>
          <w:p w14:paraId="05786C2F"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3</w:t>
            </w:r>
          </w:p>
        </w:tc>
        <w:tc>
          <w:tcPr>
            <w:tcW w:w="0" w:type="auto"/>
            <w:vAlign w:val="bottom"/>
          </w:tcPr>
          <w:p w14:paraId="77DAF7B3"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14</w:t>
            </w:r>
          </w:p>
        </w:tc>
        <w:tc>
          <w:tcPr>
            <w:tcW w:w="0" w:type="auto"/>
            <w:vAlign w:val="bottom"/>
          </w:tcPr>
          <w:p w14:paraId="265D89D0"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467%</w:t>
            </w:r>
          </w:p>
        </w:tc>
      </w:tr>
      <w:tr w:rsidR="00902529" w14:paraId="2FA8C164"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621560A6" w14:textId="77777777" w:rsidR="00902529" w:rsidRPr="006A118D" w:rsidRDefault="00902529" w:rsidP="00F30544">
            <w:pPr>
              <w:pStyle w:val="TableauSchmaOrganigrammecentr"/>
            </w:pPr>
            <w:r w:rsidRPr="006A118D">
              <w:t>Météo-France</w:t>
            </w:r>
          </w:p>
        </w:tc>
        <w:tc>
          <w:tcPr>
            <w:tcW w:w="0" w:type="auto"/>
            <w:vAlign w:val="bottom"/>
          </w:tcPr>
          <w:p w14:paraId="69299EF0"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5</w:t>
            </w:r>
          </w:p>
        </w:tc>
        <w:tc>
          <w:tcPr>
            <w:tcW w:w="0" w:type="auto"/>
            <w:vAlign w:val="bottom"/>
          </w:tcPr>
          <w:p w14:paraId="7CC346D5"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2</w:t>
            </w:r>
          </w:p>
        </w:tc>
        <w:tc>
          <w:tcPr>
            <w:tcW w:w="0" w:type="auto"/>
            <w:vAlign w:val="bottom"/>
          </w:tcPr>
          <w:p w14:paraId="6A815DED"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3</w:t>
            </w:r>
          </w:p>
        </w:tc>
        <w:tc>
          <w:tcPr>
            <w:tcW w:w="0" w:type="auto"/>
            <w:vAlign w:val="bottom"/>
          </w:tcPr>
          <w:p w14:paraId="7FFD335F" w14:textId="77777777" w:rsidR="00902529" w:rsidRPr="006A118D"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6A118D">
              <w:t>150%</w:t>
            </w:r>
          </w:p>
        </w:tc>
      </w:tr>
    </w:tbl>
    <w:p w14:paraId="780FF929" w14:textId="77777777" w:rsidR="00902529" w:rsidRDefault="00902529" w:rsidP="00902529">
      <w:pPr>
        <w:pStyle w:val="TexteSource"/>
      </w:pPr>
      <w:r>
        <w:t xml:space="preserve">Source : réponses des opérateurs et analyse de la Cour </w:t>
      </w:r>
      <w:r w:rsidRPr="006A118D">
        <w:t xml:space="preserve">d’après les citations du GIEC (6e cycle) croisées avec les outils Hal et RNSR. </w:t>
      </w:r>
      <w:r>
        <w:t>Pour l’analyse de la Cour, s</w:t>
      </w:r>
      <w:r w:rsidRPr="006A118D">
        <w:t>eul le grain des laboratoires est considéré.</w:t>
      </w:r>
    </w:p>
    <w:p w14:paraId="17D67FF3" w14:textId="77777777" w:rsidR="00902529" w:rsidRDefault="00902529" w:rsidP="00902529">
      <w:pPr>
        <w:pStyle w:val="Titretableau"/>
        <w:spacing w:before="400"/>
        <w:rPr>
          <w:lang w:eastAsia="fr-FR"/>
        </w:rPr>
      </w:pPr>
      <w:r w:rsidRPr="00202AD3">
        <w:rPr>
          <w:lang w:eastAsia="fr-FR"/>
        </w:rPr>
        <w:lastRenderedPageBreak/>
        <w:t>Tutelle des laboratoires impliqués dans la recherche pour l’adaptation.</w:t>
      </w:r>
    </w:p>
    <w:tbl>
      <w:tblPr>
        <w:tblStyle w:val="TABLEAURAPPORTPUBLICANNUEL"/>
        <w:tblW w:w="0" w:type="auto"/>
        <w:tblLook w:val="04A0" w:firstRow="1" w:lastRow="0" w:firstColumn="1" w:lastColumn="0" w:noHBand="0" w:noVBand="1"/>
      </w:tblPr>
      <w:tblGrid>
        <w:gridCol w:w="1585"/>
        <w:gridCol w:w="2479"/>
        <w:gridCol w:w="2396"/>
        <w:gridCol w:w="2487"/>
      </w:tblGrid>
      <w:tr w:rsidR="00902529" w14:paraId="7809728A"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top"/>
          </w:tcPr>
          <w:p w14:paraId="1AF7500B" w14:textId="77777777" w:rsidR="00902529" w:rsidRPr="00202AD3" w:rsidRDefault="00902529" w:rsidP="00F30544">
            <w:pPr>
              <w:pStyle w:val="TableauSchmaOrganigrammecentr"/>
            </w:pPr>
            <w:r w:rsidRPr="00202AD3">
              <w:t>Tutelles</w:t>
            </w:r>
          </w:p>
        </w:tc>
        <w:tc>
          <w:tcPr>
            <w:tcW w:w="0" w:type="auto"/>
            <w:vAlign w:val="top"/>
          </w:tcPr>
          <w:p w14:paraId="1CC66368" w14:textId="77777777" w:rsidR="00902529" w:rsidRPr="00202AD3"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202AD3">
              <w:t>Nombre de laboratoires impliqués dans la recherche pour l'adaptation</w:t>
            </w:r>
          </w:p>
        </w:tc>
        <w:tc>
          <w:tcPr>
            <w:tcW w:w="0" w:type="auto"/>
            <w:vAlign w:val="top"/>
          </w:tcPr>
          <w:p w14:paraId="01E0431C" w14:textId="77777777" w:rsidR="00902529" w:rsidRPr="00202AD3"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202AD3">
              <w:t>Nombre de laboratoires impliqués dans la recherche en adaptation</w:t>
            </w:r>
          </w:p>
        </w:tc>
        <w:tc>
          <w:tcPr>
            <w:tcW w:w="0" w:type="auto"/>
            <w:vAlign w:val="top"/>
          </w:tcPr>
          <w:p w14:paraId="137B30BD" w14:textId="77777777" w:rsidR="00902529" w:rsidRPr="00202AD3"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202AD3">
              <w:t>Part de la recherche en adaptation dans la recherche pour l'adaptation</w:t>
            </w:r>
          </w:p>
        </w:tc>
      </w:tr>
      <w:tr w:rsidR="00902529" w14:paraId="02AC1263"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1D7C0B9A" w14:textId="77777777" w:rsidR="00902529" w:rsidRPr="00202AD3" w:rsidRDefault="00902529" w:rsidP="00F30544">
            <w:pPr>
              <w:pStyle w:val="TableauSchmaOrganigrammecentr"/>
            </w:pPr>
            <w:r w:rsidRPr="009207EF">
              <w:t>CNRS</w:t>
            </w:r>
          </w:p>
        </w:tc>
        <w:tc>
          <w:tcPr>
            <w:tcW w:w="0" w:type="auto"/>
            <w:vAlign w:val="top"/>
          </w:tcPr>
          <w:p w14:paraId="3AD5C2FA"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148</w:t>
            </w:r>
          </w:p>
        </w:tc>
        <w:tc>
          <w:tcPr>
            <w:tcW w:w="0" w:type="auto"/>
            <w:vAlign w:val="top"/>
          </w:tcPr>
          <w:p w14:paraId="35A5B4DB"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64</w:t>
            </w:r>
          </w:p>
        </w:tc>
        <w:tc>
          <w:tcPr>
            <w:tcW w:w="0" w:type="auto"/>
            <w:vAlign w:val="top"/>
          </w:tcPr>
          <w:p w14:paraId="31180CB4"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6%</w:t>
            </w:r>
          </w:p>
        </w:tc>
      </w:tr>
      <w:tr w:rsidR="00902529" w14:paraId="3B336015"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1E4A0DE6" w14:textId="77777777" w:rsidR="00902529" w:rsidRPr="00202AD3" w:rsidRDefault="00902529" w:rsidP="00F30544">
            <w:pPr>
              <w:pStyle w:val="TableauSchmaOrganigrammecentr"/>
            </w:pPr>
            <w:r w:rsidRPr="009207EF">
              <w:t>Inra</w:t>
            </w:r>
            <w:r>
              <w:t>é</w:t>
            </w:r>
          </w:p>
        </w:tc>
        <w:tc>
          <w:tcPr>
            <w:tcW w:w="0" w:type="auto"/>
            <w:vAlign w:val="top"/>
          </w:tcPr>
          <w:p w14:paraId="1A03F14C"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49</w:t>
            </w:r>
          </w:p>
        </w:tc>
        <w:tc>
          <w:tcPr>
            <w:tcW w:w="0" w:type="auto"/>
            <w:vAlign w:val="top"/>
          </w:tcPr>
          <w:p w14:paraId="244CB8B1"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29</w:t>
            </w:r>
          </w:p>
        </w:tc>
        <w:tc>
          <w:tcPr>
            <w:tcW w:w="0" w:type="auto"/>
            <w:vAlign w:val="top"/>
          </w:tcPr>
          <w:p w14:paraId="2E562E1A"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11%</w:t>
            </w:r>
          </w:p>
        </w:tc>
      </w:tr>
      <w:tr w:rsidR="00902529" w14:paraId="2DB32F11"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3CF9C7CB" w14:textId="77777777" w:rsidR="00902529" w:rsidRPr="00202AD3" w:rsidRDefault="00902529" w:rsidP="00F30544">
            <w:pPr>
              <w:pStyle w:val="TableauSchmaOrganigrammecentr"/>
            </w:pPr>
            <w:r w:rsidRPr="009207EF">
              <w:t>IRD</w:t>
            </w:r>
          </w:p>
        </w:tc>
        <w:tc>
          <w:tcPr>
            <w:tcW w:w="0" w:type="auto"/>
            <w:vAlign w:val="top"/>
          </w:tcPr>
          <w:p w14:paraId="55727922"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33</w:t>
            </w:r>
          </w:p>
        </w:tc>
        <w:tc>
          <w:tcPr>
            <w:tcW w:w="0" w:type="auto"/>
            <w:vAlign w:val="top"/>
          </w:tcPr>
          <w:p w14:paraId="239DE4A5"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20</w:t>
            </w:r>
          </w:p>
        </w:tc>
        <w:tc>
          <w:tcPr>
            <w:tcW w:w="0" w:type="auto"/>
            <w:vAlign w:val="top"/>
          </w:tcPr>
          <w:p w14:paraId="7B5958DE"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31%</w:t>
            </w:r>
          </w:p>
        </w:tc>
      </w:tr>
      <w:tr w:rsidR="00902529" w14:paraId="004B0349"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4E2160BD" w14:textId="77777777" w:rsidR="00902529" w:rsidRPr="00202AD3" w:rsidRDefault="00902529" w:rsidP="00F30544">
            <w:pPr>
              <w:pStyle w:val="TableauSchmaOrganigrammecentr"/>
            </w:pPr>
            <w:r>
              <w:t>Sorbonne Université</w:t>
            </w:r>
          </w:p>
        </w:tc>
        <w:tc>
          <w:tcPr>
            <w:tcW w:w="0" w:type="auto"/>
            <w:vAlign w:val="top"/>
          </w:tcPr>
          <w:p w14:paraId="71890A06"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27</w:t>
            </w:r>
          </w:p>
        </w:tc>
        <w:tc>
          <w:tcPr>
            <w:tcW w:w="0" w:type="auto"/>
            <w:vAlign w:val="top"/>
          </w:tcPr>
          <w:p w14:paraId="31528071"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11</w:t>
            </w:r>
          </w:p>
        </w:tc>
        <w:tc>
          <w:tcPr>
            <w:tcW w:w="0" w:type="auto"/>
            <w:vAlign w:val="top"/>
          </w:tcPr>
          <w:p w14:paraId="4516370F"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7%</w:t>
            </w:r>
          </w:p>
        </w:tc>
      </w:tr>
      <w:tr w:rsidR="00902529" w14:paraId="5C322CC2"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58C9A9E9" w14:textId="77777777" w:rsidR="00902529" w:rsidRPr="00202AD3" w:rsidRDefault="00902529" w:rsidP="00F30544">
            <w:pPr>
              <w:pStyle w:val="TableauSchmaOrganigrammecentr"/>
            </w:pPr>
            <w:r w:rsidRPr="009207EF">
              <w:t>Cirad</w:t>
            </w:r>
          </w:p>
        </w:tc>
        <w:tc>
          <w:tcPr>
            <w:tcW w:w="0" w:type="auto"/>
            <w:vAlign w:val="top"/>
          </w:tcPr>
          <w:p w14:paraId="4B8837CC"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21</w:t>
            </w:r>
          </w:p>
        </w:tc>
        <w:tc>
          <w:tcPr>
            <w:tcW w:w="0" w:type="auto"/>
            <w:vAlign w:val="top"/>
          </w:tcPr>
          <w:p w14:paraId="43D16167"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15</w:t>
            </w:r>
          </w:p>
        </w:tc>
        <w:tc>
          <w:tcPr>
            <w:tcW w:w="0" w:type="auto"/>
            <w:vAlign w:val="top"/>
          </w:tcPr>
          <w:p w14:paraId="52929385"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54%</w:t>
            </w:r>
          </w:p>
        </w:tc>
      </w:tr>
      <w:tr w:rsidR="00902529" w14:paraId="3ADAA008"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0BEBE758" w14:textId="77777777" w:rsidR="00902529" w:rsidRPr="00202AD3" w:rsidRDefault="00902529" w:rsidP="00F30544">
            <w:pPr>
              <w:pStyle w:val="TableauSchmaOrganigrammecentr"/>
            </w:pPr>
            <w:r>
              <w:t xml:space="preserve">Université </w:t>
            </w:r>
            <w:r w:rsidRPr="00202AD3">
              <w:t>Paris sciences et lettres</w:t>
            </w:r>
          </w:p>
        </w:tc>
        <w:tc>
          <w:tcPr>
            <w:tcW w:w="0" w:type="auto"/>
            <w:vAlign w:val="top"/>
          </w:tcPr>
          <w:p w14:paraId="7416DEC7"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18</w:t>
            </w:r>
          </w:p>
        </w:tc>
        <w:tc>
          <w:tcPr>
            <w:tcW w:w="0" w:type="auto"/>
            <w:vAlign w:val="top"/>
          </w:tcPr>
          <w:p w14:paraId="2C6D60E5"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9</w:t>
            </w:r>
          </w:p>
        </w:tc>
        <w:tc>
          <w:tcPr>
            <w:tcW w:w="0" w:type="auto"/>
            <w:vAlign w:val="top"/>
          </w:tcPr>
          <w:p w14:paraId="7B2AFA8B"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9%</w:t>
            </w:r>
          </w:p>
        </w:tc>
      </w:tr>
      <w:tr w:rsidR="00902529" w14:paraId="6B1F0807"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703A1E5B" w14:textId="77777777" w:rsidR="00902529" w:rsidRPr="00202AD3" w:rsidRDefault="00902529" w:rsidP="00F30544">
            <w:pPr>
              <w:pStyle w:val="TableauSchmaOrganigrammecentr"/>
            </w:pPr>
            <w:r>
              <w:t>Université de Montpellier</w:t>
            </w:r>
          </w:p>
        </w:tc>
        <w:tc>
          <w:tcPr>
            <w:tcW w:w="0" w:type="auto"/>
            <w:vAlign w:val="top"/>
          </w:tcPr>
          <w:p w14:paraId="00AB85E5"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16</w:t>
            </w:r>
          </w:p>
        </w:tc>
        <w:tc>
          <w:tcPr>
            <w:tcW w:w="0" w:type="auto"/>
            <w:vAlign w:val="top"/>
          </w:tcPr>
          <w:p w14:paraId="4F3C46FB"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9</w:t>
            </w:r>
          </w:p>
        </w:tc>
        <w:tc>
          <w:tcPr>
            <w:tcW w:w="0" w:type="auto"/>
            <w:vAlign w:val="top"/>
          </w:tcPr>
          <w:p w14:paraId="567BEC24"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12%</w:t>
            </w:r>
          </w:p>
        </w:tc>
      </w:tr>
      <w:tr w:rsidR="00902529" w14:paraId="013CE166"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2083E46A" w14:textId="77777777" w:rsidR="00902529" w:rsidRPr="00202AD3" w:rsidRDefault="00902529" w:rsidP="00F30544">
            <w:pPr>
              <w:pStyle w:val="TableauSchmaOrganigrammecentr"/>
            </w:pPr>
            <w:r w:rsidRPr="009207EF">
              <w:t>Institut Agro</w:t>
            </w:r>
          </w:p>
        </w:tc>
        <w:tc>
          <w:tcPr>
            <w:tcW w:w="0" w:type="auto"/>
            <w:vAlign w:val="top"/>
          </w:tcPr>
          <w:p w14:paraId="7EDE7153"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15</w:t>
            </w:r>
          </w:p>
        </w:tc>
        <w:tc>
          <w:tcPr>
            <w:tcW w:w="0" w:type="auto"/>
            <w:vAlign w:val="top"/>
          </w:tcPr>
          <w:p w14:paraId="36AE6D8C"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10</w:t>
            </w:r>
          </w:p>
        </w:tc>
        <w:tc>
          <w:tcPr>
            <w:tcW w:w="0" w:type="auto"/>
            <w:vAlign w:val="top"/>
          </w:tcPr>
          <w:p w14:paraId="5CAD5904"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28%</w:t>
            </w:r>
          </w:p>
        </w:tc>
      </w:tr>
      <w:tr w:rsidR="00902529" w14:paraId="30BDF240"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179FAB99" w14:textId="77777777" w:rsidR="00902529" w:rsidRPr="00202AD3" w:rsidRDefault="00902529" w:rsidP="00F30544">
            <w:pPr>
              <w:pStyle w:val="TableauSchmaOrganigrammecentr"/>
            </w:pPr>
            <w:r>
              <w:t>Université Grenoble Alpes</w:t>
            </w:r>
          </w:p>
        </w:tc>
        <w:tc>
          <w:tcPr>
            <w:tcW w:w="0" w:type="auto"/>
            <w:vAlign w:val="top"/>
          </w:tcPr>
          <w:p w14:paraId="6386C022"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14</w:t>
            </w:r>
          </w:p>
        </w:tc>
        <w:tc>
          <w:tcPr>
            <w:tcW w:w="0" w:type="auto"/>
            <w:vAlign w:val="top"/>
          </w:tcPr>
          <w:p w14:paraId="4385BC7E"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5</w:t>
            </w:r>
          </w:p>
        </w:tc>
        <w:tc>
          <w:tcPr>
            <w:tcW w:w="0" w:type="auto"/>
            <w:vAlign w:val="top"/>
          </w:tcPr>
          <w:p w14:paraId="7C9D11B9"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6%</w:t>
            </w:r>
          </w:p>
        </w:tc>
      </w:tr>
      <w:tr w:rsidR="00902529" w14:paraId="6FEDFB2B"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top"/>
          </w:tcPr>
          <w:p w14:paraId="02034776" w14:textId="77777777" w:rsidR="00902529" w:rsidRPr="00202AD3" w:rsidRDefault="00902529" w:rsidP="00F30544">
            <w:pPr>
              <w:pStyle w:val="TableauSchmaOrganigrammecentr"/>
            </w:pPr>
            <w:r>
              <w:t>Aix-Marseille Université</w:t>
            </w:r>
          </w:p>
        </w:tc>
        <w:tc>
          <w:tcPr>
            <w:tcW w:w="0" w:type="auto"/>
            <w:vAlign w:val="top"/>
          </w:tcPr>
          <w:p w14:paraId="52D934E9"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14</w:t>
            </w:r>
          </w:p>
        </w:tc>
        <w:tc>
          <w:tcPr>
            <w:tcW w:w="0" w:type="auto"/>
            <w:vAlign w:val="top"/>
          </w:tcPr>
          <w:p w14:paraId="71CFAD94"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8</w:t>
            </w:r>
          </w:p>
        </w:tc>
        <w:tc>
          <w:tcPr>
            <w:tcW w:w="0" w:type="auto"/>
            <w:vAlign w:val="top"/>
          </w:tcPr>
          <w:p w14:paraId="4742FCED" w14:textId="77777777" w:rsidR="00902529" w:rsidRPr="00202AD3"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9207EF">
              <w:t>7%</w:t>
            </w:r>
          </w:p>
        </w:tc>
      </w:tr>
    </w:tbl>
    <w:p w14:paraId="17C9901E" w14:textId="77777777" w:rsidR="00902529" w:rsidRPr="00900F0D" w:rsidRDefault="00902529" w:rsidP="00902529">
      <w:pPr>
        <w:pStyle w:val="TexteSource"/>
      </w:pPr>
      <w:r>
        <w:t>Source :</w:t>
      </w:r>
      <w:r w:rsidRPr="00202AD3">
        <w:t xml:space="preserve"> Cour d’après les citations du GIEC (6e cycle) croisées avec les outils Hal et RNSR, et associée à des analyses sémantiques.</w:t>
      </w:r>
    </w:p>
    <w:p w14:paraId="2AAA8D2A" w14:textId="77777777" w:rsidR="00902529" w:rsidRDefault="00902529" w:rsidP="00902529">
      <w:pPr>
        <w:pStyle w:val="Titretableau"/>
        <w:spacing w:before="400"/>
      </w:pPr>
      <w:r>
        <w:t> Taille, concentration et principaux laboratoires de recherche suivant les groupes du GIEC considérés.</w:t>
      </w:r>
    </w:p>
    <w:tbl>
      <w:tblPr>
        <w:tblStyle w:val="TABLEAURAPPORTPUBLICANNUEL"/>
        <w:tblW w:w="0" w:type="auto"/>
        <w:tblInd w:w="-737" w:type="dxa"/>
        <w:tblLook w:val="04A0" w:firstRow="1" w:lastRow="0" w:firstColumn="1" w:lastColumn="0" w:noHBand="0" w:noVBand="1"/>
      </w:tblPr>
      <w:tblGrid>
        <w:gridCol w:w="5026"/>
        <w:gridCol w:w="1395"/>
        <w:gridCol w:w="1121"/>
        <w:gridCol w:w="1146"/>
        <w:gridCol w:w="1109"/>
      </w:tblGrid>
      <w:tr w:rsidR="00902529" w:rsidRPr="00195C26" w14:paraId="5B402A10"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BF65BEC" w14:textId="77777777" w:rsidR="00902529" w:rsidRPr="00195C26" w:rsidRDefault="00902529" w:rsidP="00F30544">
            <w:pPr>
              <w:pStyle w:val="TableauSchmaOrganigrammealignementgauche"/>
              <w:rPr>
                <w:sz w:val="22"/>
              </w:rPr>
            </w:pPr>
          </w:p>
        </w:tc>
        <w:tc>
          <w:tcPr>
            <w:tcW w:w="0" w:type="auto"/>
          </w:tcPr>
          <w:p w14:paraId="65315A81" w14:textId="77777777" w:rsidR="00902529" w:rsidRPr="00195C26"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sidRPr="00195C26">
              <w:rPr>
                <w:sz w:val="22"/>
              </w:rPr>
              <w:t>Ensemble des groupes</w:t>
            </w:r>
          </w:p>
        </w:tc>
        <w:tc>
          <w:tcPr>
            <w:tcW w:w="0" w:type="auto"/>
          </w:tcPr>
          <w:p w14:paraId="3169E4C0" w14:textId="77777777" w:rsidR="00902529" w:rsidRPr="00195C26"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sidRPr="00195C26">
              <w:rPr>
                <w:sz w:val="22"/>
              </w:rPr>
              <w:t>Groupe 1</w:t>
            </w:r>
          </w:p>
        </w:tc>
        <w:tc>
          <w:tcPr>
            <w:tcW w:w="0" w:type="auto"/>
          </w:tcPr>
          <w:p w14:paraId="46796414" w14:textId="77777777" w:rsidR="00902529" w:rsidRPr="00195C26"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sidRPr="00195C26">
              <w:rPr>
                <w:sz w:val="22"/>
              </w:rPr>
              <w:t>Groupe 2</w:t>
            </w:r>
          </w:p>
        </w:tc>
        <w:tc>
          <w:tcPr>
            <w:tcW w:w="0" w:type="auto"/>
          </w:tcPr>
          <w:p w14:paraId="3A01344C" w14:textId="77777777" w:rsidR="00902529" w:rsidRPr="00195C26" w:rsidRDefault="00902529" w:rsidP="00F30544">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sidRPr="00195C26">
              <w:rPr>
                <w:sz w:val="22"/>
              </w:rPr>
              <w:t>Groupe 3</w:t>
            </w:r>
          </w:p>
        </w:tc>
      </w:tr>
      <w:tr w:rsidR="00902529" w:rsidRPr="00195C26" w14:paraId="7F550E3C"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479A9B94" w14:textId="77777777" w:rsidR="00902529" w:rsidRPr="00195C26" w:rsidRDefault="00902529" w:rsidP="00F30544">
            <w:pPr>
              <w:pStyle w:val="TableauSchmaOrganigrammealignementgauche"/>
              <w:rPr>
                <w:sz w:val="22"/>
              </w:rPr>
            </w:pPr>
            <w:r w:rsidRPr="00195C26">
              <w:rPr>
                <w:sz w:val="22"/>
              </w:rPr>
              <w:t>Nombre d</w:t>
            </w:r>
            <w:r>
              <w:rPr>
                <w:sz w:val="22"/>
              </w:rPr>
              <w:t>e laboratoires</w:t>
            </w:r>
          </w:p>
        </w:tc>
        <w:tc>
          <w:tcPr>
            <w:tcW w:w="0" w:type="auto"/>
            <w:vAlign w:val="top"/>
          </w:tcPr>
          <w:p w14:paraId="114F4899"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272</w:t>
            </w:r>
          </w:p>
        </w:tc>
        <w:tc>
          <w:tcPr>
            <w:tcW w:w="0" w:type="auto"/>
            <w:vAlign w:val="top"/>
          </w:tcPr>
          <w:p w14:paraId="29A0C22B"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138</w:t>
            </w:r>
          </w:p>
        </w:tc>
        <w:tc>
          <w:tcPr>
            <w:tcW w:w="0" w:type="auto"/>
            <w:vAlign w:val="top"/>
          </w:tcPr>
          <w:p w14:paraId="1745A206"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176</w:t>
            </w:r>
          </w:p>
        </w:tc>
        <w:tc>
          <w:tcPr>
            <w:tcW w:w="0" w:type="auto"/>
            <w:vAlign w:val="top"/>
          </w:tcPr>
          <w:p w14:paraId="65656EB5"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106</w:t>
            </w:r>
          </w:p>
        </w:tc>
      </w:tr>
      <w:tr w:rsidR="00902529" w:rsidRPr="00195C26" w14:paraId="541C7EB9"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7D1016FE" w14:textId="77777777" w:rsidR="00902529" w:rsidRPr="00195C26" w:rsidRDefault="00902529" w:rsidP="00F30544">
            <w:pPr>
              <w:pStyle w:val="TableauSchmaOrganigrammealignementgauche"/>
              <w:rPr>
                <w:sz w:val="22"/>
              </w:rPr>
            </w:pPr>
            <w:r w:rsidRPr="00195C26">
              <w:rPr>
                <w:sz w:val="22"/>
              </w:rPr>
              <w:t xml:space="preserve">Niveau de concentration des citations pour les </w:t>
            </w:r>
            <w:r>
              <w:rPr>
                <w:sz w:val="22"/>
              </w:rPr>
              <w:t>laboratoires</w:t>
            </w:r>
            <w:r w:rsidRPr="00195C26">
              <w:rPr>
                <w:sz w:val="22"/>
              </w:rPr>
              <w:t xml:space="preserve"> du groupe concerné (indice de Gini ; en %)</w:t>
            </w:r>
          </w:p>
        </w:tc>
        <w:tc>
          <w:tcPr>
            <w:tcW w:w="0" w:type="auto"/>
            <w:vAlign w:val="top"/>
          </w:tcPr>
          <w:p w14:paraId="6D4F1092"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81%</w:t>
            </w:r>
          </w:p>
        </w:tc>
        <w:tc>
          <w:tcPr>
            <w:tcW w:w="0" w:type="auto"/>
            <w:vAlign w:val="top"/>
          </w:tcPr>
          <w:p w14:paraId="0D3BAC73"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92%</w:t>
            </w:r>
          </w:p>
        </w:tc>
        <w:tc>
          <w:tcPr>
            <w:tcW w:w="0" w:type="auto"/>
            <w:vAlign w:val="top"/>
          </w:tcPr>
          <w:p w14:paraId="4553718C"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78%</w:t>
            </w:r>
          </w:p>
        </w:tc>
        <w:tc>
          <w:tcPr>
            <w:tcW w:w="0" w:type="auto"/>
            <w:vAlign w:val="top"/>
          </w:tcPr>
          <w:p w14:paraId="2D37E36C"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85%</w:t>
            </w:r>
          </w:p>
        </w:tc>
      </w:tr>
      <w:tr w:rsidR="00902529" w:rsidRPr="00195C26" w14:paraId="4C96C27F" w14:textId="77777777" w:rsidTr="00F30544">
        <w:tc>
          <w:tcPr>
            <w:cnfStyle w:val="001000000000" w:firstRow="0" w:lastRow="0" w:firstColumn="1" w:lastColumn="0" w:oddVBand="0" w:evenVBand="0" w:oddHBand="0" w:evenHBand="0" w:firstRowFirstColumn="0" w:firstRowLastColumn="0" w:lastRowFirstColumn="0" w:lastRowLastColumn="0"/>
            <w:tcW w:w="0" w:type="auto"/>
          </w:tcPr>
          <w:p w14:paraId="64366CE6" w14:textId="77777777" w:rsidR="00902529" w:rsidRPr="00195C26" w:rsidRDefault="00902529" w:rsidP="00F30544">
            <w:pPr>
              <w:pStyle w:val="TableauSchmaOrganigrammealignementgauche"/>
              <w:rPr>
                <w:sz w:val="22"/>
              </w:rPr>
            </w:pPr>
            <w:r w:rsidRPr="00195C26">
              <w:rPr>
                <w:sz w:val="22"/>
              </w:rPr>
              <w:t>Dix premiers laboratoires les plus cités (classés par nombre décroissant de citations par le GIEC retracées dans HAL</w:t>
            </w:r>
            <w:r>
              <w:rPr>
                <w:sz w:val="22"/>
              </w:rPr>
              <w:t> ; voir l’annexe consacrée aux laboratoires pour la signification des sigles).</w:t>
            </w:r>
          </w:p>
        </w:tc>
        <w:tc>
          <w:tcPr>
            <w:tcW w:w="0" w:type="auto"/>
            <w:vAlign w:val="top"/>
          </w:tcPr>
          <w:p w14:paraId="16FCB0C3"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LSCE</w:t>
            </w:r>
          </w:p>
          <w:p w14:paraId="7715F052"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LOCEAN</w:t>
            </w:r>
          </w:p>
          <w:p w14:paraId="1FB15E92"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LMD</w:t>
            </w:r>
          </w:p>
          <w:p w14:paraId="7285C65A"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CNRM</w:t>
            </w:r>
          </w:p>
          <w:p w14:paraId="11175732"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IGE</w:t>
            </w:r>
          </w:p>
          <w:p w14:paraId="4778CD3D"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LATMOS</w:t>
            </w:r>
          </w:p>
          <w:p w14:paraId="00668038"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LEGOS</w:t>
            </w:r>
          </w:p>
          <w:p w14:paraId="77519CC3"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CIRED</w:t>
            </w:r>
          </w:p>
          <w:p w14:paraId="10F7DC6E"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CEREGE</w:t>
            </w:r>
          </w:p>
          <w:p w14:paraId="0FD025EE"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LOV</w:t>
            </w:r>
          </w:p>
        </w:tc>
        <w:tc>
          <w:tcPr>
            <w:tcW w:w="0" w:type="auto"/>
            <w:vAlign w:val="top"/>
          </w:tcPr>
          <w:p w14:paraId="3F4BD741"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LSCE</w:t>
            </w:r>
          </w:p>
          <w:p w14:paraId="5B8DB081"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LOCEAN</w:t>
            </w:r>
          </w:p>
          <w:p w14:paraId="65B9212C"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LMD</w:t>
            </w:r>
          </w:p>
          <w:p w14:paraId="0A3A8CCC"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CNRM</w:t>
            </w:r>
          </w:p>
          <w:p w14:paraId="03383299"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IGE</w:t>
            </w:r>
          </w:p>
          <w:p w14:paraId="1DF9CBCF"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LATMOS</w:t>
            </w:r>
          </w:p>
          <w:p w14:paraId="130C8ED5"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LEGOS</w:t>
            </w:r>
          </w:p>
          <w:p w14:paraId="63D0488F"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CEREGE</w:t>
            </w:r>
          </w:p>
          <w:p w14:paraId="487C8538"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LAERO</w:t>
            </w:r>
          </w:p>
          <w:p w14:paraId="6C0F8511"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195C26">
              <w:rPr>
                <w:sz w:val="22"/>
              </w:rPr>
              <w:t>HSM</w:t>
            </w:r>
          </w:p>
        </w:tc>
        <w:tc>
          <w:tcPr>
            <w:tcW w:w="0" w:type="auto"/>
            <w:vAlign w:val="top"/>
          </w:tcPr>
          <w:p w14:paraId="2A70C135"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LSCE</w:t>
            </w:r>
          </w:p>
          <w:p w14:paraId="42B0D49D"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LOCEAN</w:t>
            </w:r>
          </w:p>
          <w:p w14:paraId="14D95405"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CNRM</w:t>
            </w:r>
          </w:p>
          <w:p w14:paraId="7078F424"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MARBEC</w:t>
            </w:r>
          </w:p>
          <w:p w14:paraId="6B3B0F59"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LOV</w:t>
            </w:r>
          </w:p>
          <w:p w14:paraId="53C8B65A"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LIENSs</w:t>
            </w:r>
          </w:p>
          <w:p w14:paraId="56087F9F"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LMD</w:t>
            </w:r>
          </w:p>
          <w:p w14:paraId="1F14EA4E"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IMBE</w:t>
            </w:r>
          </w:p>
          <w:p w14:paraId="006D6943"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IGE</w:t>
            </w:r>
          </w:p>
          <w:p w14:paraId="006BE84A"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LEGOS</w:t>
            </w:r>
          </w:p>
        </w:tc>
        <w:tc>
          <w:tcPr>
            <w:tcW w:w="0" w:type="auto"/>
            <w:vAlign w:val="top"/>
          </w:tcPr>
          <w:p w14:paraId="46BB1428"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LSCE</w:t>
            </w:r>
          </w:p>
          <w:p w14:paraId="12012D7E"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CIRED</w:t>
            </w:r>
          </w:p>
          <w:p w14:paraId="523AF5AB"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GAEL</w:t>
            </w:r>
          </w:p>
          <w:p w14:paraId="3AEF721F"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CNRM</w:t>
            </w:r>
          </w:p>
          <w:p w14:paraId="0EF9D04E"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LMD</w:t>
            </w:r>
          </w:p>
          <w:p w14:paraId="20B8E6ED"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ECOSYS</w:t>
            </w:r>
          </w:p>
          <w:p w14:paraId="707FDA7A"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rPr>
              <w:t>CES</w:t>
            </w:r>
          </w:p>
          <w:p w14:paraId="73ED65FD"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LOCEAN</w:t>
            </w:r>
          </w:p>
          <w:p w14:paraId="756E9BDC"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PjSE</w:t>
            </w:r>
          </w:p>
          <w:p w14:paraId="2F5E37FD" w14:textId="77777777" w:rsidR="00902529" w:rsidRPr="00195C26" w:rsidRDefault="00902529" w:rsidP="00F30544">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195C26">
              <w:rPr>
                <w:sz w:val="22"/>
                <w:lang w:val="en-US"/>
              </w:rPr>
              <w:t>AIDA</w:t>
            </w:r>
          </w:p>
        </w:tc>
      </w:tr>
    </w:tbl>
    <w:p w14:paraId="4EB056F4" w14:textId="77777777" w:rsidR="00902529" w:rsidRDefault="00902529" w:rsidP="00902529">
      <w:pPr>
        <w:pStyle w:val="TexteSource"/>
      </w:pPr>
      <w:r w:rsidRPr="002B0E3E">
        <w:t>Source : afin de pouvoir interpréter les indices de Gini sur des bases comparables, le même ensemble de laboratoire</w:t>
      </w:r>
      <w:r w:rsidRPr="00EE2D77">
        <w:t xml:space="preserve"> est considéré pour les quatre calculs, en l’occurrence les 272 laboratoires avec au moins une publication citée par au moins l’un des trois groupes du GIEC.</w:t>
      </w:r>
    </w:p>
    <w:p w14:paraId="5E04C028" w14:textId="77777777" w:rsidR="00902529" w:rsidRDefault="00902529" w:rsidP="00902529">
      <w:pPr>
        <w:pStyle w:val="Titretableau"/>
        <w:spacing w:before="400"/>
      </w:pPr>
      <w:r>
        <w:lastRenderedPageBreak/>
        <w:t xml:space="preserve">Part des publications des laboratoires </w:t>
      </w:r>
      <w:r>
        <w:br/>
        <w:t>dans la recherche en adaptation (en %)</w:t>
      </w:r>
    </w:p>
    <w:tbl>
      <w:tblPr>
        <w:tblStyle w:val="TABLEAURAPPORTPUBLICANNUEL"/>
        <w:tblW w:w="0" w:type="auto"/>
        <w:tblLook w:val="04A0" w:firstRow="1" w:lastRow="0" w:firstColumn="1" w:lastColumn="0" w:noHBand="0" w:noVBand="1"/>
      </w:tblPr>
      <w:tblGrid>
        <w:gridCol w:w="1504"/>
        <w:gridCol w:w="2379"/>
        <w:gridCol w:w="2277"/>
        <w:gridCol w:w="2787"/>
      </w:tblGrid>
      <w:tr w:rsidR="00902529" w14:paraId="5E814333" w14:textId="77777777" w:rsidTr="00F30544">
        <w:trPr>
          <w:cnfStyle w:val="100000000000" w:firstRow="1" w:lastRow="0" w:firstColumn="0" w:lastColumn="0" w:oddVBand="0" w:evenVBand="0" w:oddHBand="0" w:evenHBand="0" w:firstRowFirstColumn="0" w:firstRowLastColumn="0" w:lastRowFirstColumn="0" w:lastRowLastColumn="0"/>
          <w:trHeight w:val="1001"/>
        </w:trPr>
        <w:tc>
          <w:tcPr>
            <w:cnfStyle w:val="001000000000" w:firstRow="0" w:lastRow="0" w:firstColumn="1" w:lastColumn="0" w:oddVBand="0" w:evenVBand="0" w:oddHBand="0" w:evenHBand="0" w:firstRowFirstColumn="0" w:firstRowLastColumn="0" w:lastRowFirstColumn="0" w:lastRowLastColumn="0"/>
            <w:tcW w:w="0" w:type="auto"/>
            <w:vAlign w:val="top"/>
          </w:tcPr>
          <w:p w14:paraId="774C9F7C" w14:textId="77777777" w:rsidR="00902529" w:rsidRPr="00C80167" w:rsidRDefault="00902529" w:rsidP="00F30544">
            <w:pPr>
              <w:pStyle w:val="TableauSchmaOrganigrammecentr"/>
            </w:pPr>
            <w:r w:rsidRPr="00C80167">
              <w:t>Laboratoire de recherche</w:t>
            </w:r>
          </w:p>
        </w:tc>
        <w:tc>
          <w:tcPr>
            <w:tcW w:w="0" w:type="auto"/>
            <w:vAlign w:val="top"/>
          </w:tcPr>
          <w:p w14:paraId="518F59E6" w14:textId="77777777" w:rsidR="00902529" w:rsidRPr="00C80167"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C80167">
              <w:t>Nombre de publications de recherche pour l'adaptation</w:t>
            </w:r>
          </w:p>
        </w:tc>
        <w:tc>
          <w:tcPr>
            <w:tcW w:w="0" w:type="auto"/>
            <w:vAlign w:val="top"/>
          </w:tcPr>
          <w:p w14:paraId="03789E28" w14:textId="77777777" w:rsidR="00902529" w:rsidRPr="00C80167"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C80167">
              <w:t>Nombre de publications de recherche en adaptation</w:t>
            </w:r>
          </w:p>
        </w:tc>
        <w:tc>
          <w:tcPr>
            <w:tcW w:w="0" w:type="auto"/>
            <w:vAlign w:val="top"/>
          </w:tcPr>
          <w:p w14:paraId="45581097" w14:textId="77777777" w:rsidR="00902529" w:rsidRPr="00C80167"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C80167">
              <w:t>Part de la recherche en adaptation dans la recherche pour l'adaptation</w:t>
            </w:r>
          </w:p>
        </w:tc>
      </w:tr>
      <w:tr w:rsidR="00902529" w14:paraId="7CF2B125"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1FFBED45" w14:textId="77777777" w:rsidR="00902529" w:rsidRPr="00501E5B" w:rsidRDefault="00902529" w:rsidP="00F30544">
            <w:pPr>
              <w:pStyle w:val="TableauSchmaOrganigrammecentr"/>
            </w:pPr>
            <w:r w:rsidRPr="00501E5B">
              <w:t>1_LSCE</w:t>
            </w:r>
          </w:p>
        </w:tc>
        <w:tc>
          <w:tcPr>
            <w:tcW w:w="0" w:type="auto"/>
            <w:vAlign w:val="bottom"/>
          </w:tcPr>
          <w:p w14:paraId="1ECA3F91"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594</w:t>
            </w:r>
          </w:p>
        </w:tc>
        <w:tc>
          <w:tcPr>
            <w:tcW w:w="0" w:type="auto"/>
            <w:vAlign w:val="bottom"/>
          </w:tcPr>
          <w:p w14:paraId="4FF56CCD"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38</w:t>
            </w:r>
          </w:p>
        </w:tc>
        <w:tc>
          <w:tcPr>
            <w:tcW w:w="0" w:type="auto"/>
            <w:vAlign w:val="bottom"/>
          </w:tcPr>
          <w:p w14:paraId="155BC71F"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6%</w:t>
            </w:r>
          </w:p>
        </w:tc>
      </w:tr>
      <w:tr w:rsidR="00902529" w14:paraId="247F6F83"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0582E430" w14:textId="77777777" w:rsidR="00902529" w:rsidRPr="00501E5B" w:rsidRDefault="00902529" w:rsidP="00F30544">
            <w:pPr>
              <w:pStyle w:val="TableauSchmaOrganigrammecentr"/>
            </w:pPr>
            <w:r w:rsidRPr="00501E5B">
              <w:t>1_LOCEAN</w:t>
            </w:r>
          </w:p>
        </w:tc>
        <w:tc>
          <w:tcPr>
            <w:tcW w:w="0" w:type="auto"/>
            <w:vAlign w:val="bottom"/>
          </w:tcPr>
          <w:p w14:paraId="0978AFC7"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263</w:t>
            </w:r>
          </w:p>
        </w:tc>
        <w:tc>
          <w:tcPr>
            <w:tcW w:w="0" w:type="auto"/>
            <w:vAlign w:val="bottom"/>
          </w:tcPr>
          <w:p w14:paraId="75FC0A74"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11</w:t>
            </w:r>
          </w:p>
        </w:tc>
        <w:tc>
          <w:tcPr>
            <w:tcW w:w="0" w:type="auto"/>
            <w:vAlign w:val="bottom"/>
          </w:tcPr>
          <w:p w14:paraId="612A07F0"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w:t>
            </w:r>
          </w:p>
        </w:tc>
      </w:tr>
      <w:tr w:rsidR="00902529" w14:paraId="0A773F2A"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47E5A897" w14:textId="77777777" w:rsidR="00902529" w:rsidRPr="00501E5B" w:rsidRDefault="00902529" w:rsidP="00F30544">
            <w:pPr>
              <w:pStyle w:val="TableauSchmaOrganigrammecentr"/>
            </w:pPr>
            <w:r w:rsidRPr="00501E5B">
              <w:t>1_LMD</w:t>
            </w:r>
          </w:p>
        </w:tc>
        <w:tc>
          <w:tcPr>
            <w:tcW w:w="0" w:type="auto"/>
            <w:vAlign w:val="bottom"/>
          </w:tcPr>
          <w:p w14:paraId="508184F1"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220</w:t>
            </w:r>
          </w:p>
        </w:tc>
        <w:tc>
          <w:tcPr>
            <w:tcW w:w="0" w:type="auto"/>
            <w:vAlign w:val="bottom"/>
          </w:tcPr>
          <w:p w14:paraId="13D5F476"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14</w:t>
            </w:r>
          </w:p>
        </w:tc>
        <w:tc>
          <w:tcPr>
            <w:tcW w:w="0" w:type="auto"/>
            <w:vAlign w:val="bottom"/>
          </w:tcPr>
          <w:p w14:paraId="120FFD5B"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6%</w:t>
            </w:r>
          </w:p>
        </w:tc>
      </w:tr>
      <w:tr w:rsidR="00902529" w14:paraId="2E891475"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1BBEDD17" w14:textId="77777777" w:rsidR="00902529" w:rsidRPr="00501E5B" w:rsidRDefault="00902529" w:rsidP="00F30544">
            <w:pPr>
              <w:pStyle w:val="TableauSchmaOrganigrammecentr"/>
            </w:pPr>
            <w:r w:rsidRPr="00501E5B">
              <w:t>1_CNRM</w:t>
            </w:r>
          </w:p>
        </w:tc>
        <w:tc>
          <w:tcPr>
            <w:tcW w:w="0" w:type="auto"/>
            <w:vAlign w:val="bottom"/>
          </w:tcPr>
          <w:p w14:paraId="043482FE"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217</w:t>
            </w:r>
          </w:p>
        </w:tc>
        <w:tc>
          <w:tcPr>
            <w:tcW w:w="0" w:type="auto"/>
            <w:vAlign w:val="bottom"/>
          </w:tcPr>
          <w:p w14:paraId="6D91F042"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17</w:t>
            </w:r>
          </w:p>
        </w:tc>
        <w:tc>
          <w:tcPr>
            <w:tcW w:w="0" w:type="auto"/>
            <w:vAlign w:val="bottom"/>
          </w:tcPr>
          <w:p w14:paraId="12BB17B4"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8%</w:t>
            </w:r>
          </w:p>
        </w:tc>
      </w:tr>
      <w:tr w:rsidR="00902529" w14:paraId="4DFF2DCF"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5BE28B98" w14:textId="77777777" w:rsidR="00902529" w:rsidRPr="00501E5B" w:rsidRDefault="00902529" w:rsidP="00F30544">
            <w:pPr>
              <w:pStyle w:val="TableauSchmaOrganigrammecentr"/>
            </w:pPr>
            <w:r w:rsidRPr="00501E5B">
              <w:t>1_IGE</w:t>
            </w:r>
          </w:p>
        </w:tc>
        <w:tc>
          <w:tcPr>
            <w:tcW w:w="0" w:type="auto"/>
            <w:vAlign w:val="bottom"/>
          </w:tcPr>
          <w:p w14:paraId="1D121DD0"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119</w:t>
            </w:r>
          </w:p>
        </w:tc>
        <w:tc>
          <w:tcPr>
            <w:tcW w:w="0" w:type="auto"/>
            <w:vAlign w:val="bottom"/>
          </w:tcPr>
          <w:p w14:paraId="5B0E7500"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7</w:t>
            </w:r>
          </w:p>
        </w:tc>
        <w:tc>
          <w:tcPr>
            <w:tcW w:w="0" w:type="auto"/>
            <w:vAlign w:val="bottom"/>
          </w:tcPr>
          <w:p w14:paraId="54AB62EE"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6%</w:t>
            </w:r>
          </w:p>
        </w:tc>
      </w:tr>
      <w:tr w:rsidR="00902529" w14:paraId="1CD1A813"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518D46E0" w14:textId="77777777" w:rsidR="00902529" w:rsidRPr="00501E5B" w:rsidRDefault="00902529" w:rsidP="00F30544">
            <w:pPr>
              <w:pStyle w:val="TableauSchmaOrganigrammecentr"/>
            </w:pPr>
            <w:r w:rsidRPr="00501E5B">
              <w:t>1_LATMOS</w:t>
            </w:r>
          </w:p>
        </w:tc>
        <w:tc>
          <w:tcPr>
            <w:tcW w:w="0" w:type="auto"/>
            <w:vAlign w:val="bottom"/>
          </w:tcPr>
          <w:p w14:paraId="33E4CFB3"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77</w:t>
            </w:r>
          </w:p>
        </w:tc>
        <w:tc>
          <w:tcPr>
            <w:tcW w:w="0" w:type="auto"/>
            <w:vAlign w:val="bottom"/>
          </w:tcPr>
          <w:p w14:paraId="6C00D513"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3</w:t>
            </w:r>
          </w:p>
        </w:tc>
        <w:tc>
          <w:tcPr>
            <w:tcW w:w="0" w:type="auto"/>
            <w:vAlign w:val="bottom"/>
          </w:tcPr>
          <w:p w14:paraId="76FB2BF1"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w:t>
            </w:r>
          </w:p>
        </w:tc>
      </w:tr>
      <w:tr w:rsidR="00902529" w14:paraId="56B424DF"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3229AD8E" w14:textId="77777777" w:rsidR="00902529" w:rsidRPr="00501E5B" w:rsidRDefault="00902529" w:rsidP="00F30544">
            <w:pPr>
              <w:pStyle w:val="TableauSchmaOrganigrammecentr"/>
            </w:pPr>
            <w:r w:rsidRPr="00501E5B">
              <w:t>1_LEGOS</w:t>
            </w:r>
          </w:p>
        </w:tc>
        <w:tc>
          <w:tcPr>
            <w:tcW w:w="0" w:type="auto"/>
            <w:vAlign w:val="bottom"/>
          </w:tcPr>
          <w:p w14:paraId="03F3F376"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70</w:t>
            </w:r>
          </w:p>
        </w:tc>
        <w:tc>
          <w:tcPr>
            <w:tcW w:w="0" w:type="auto"/>
            <w:vAlign w:val="bottom"/>
          </w:tcPr>
          <w:p w14:paraId="40CFA54C"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5</w:t>
            </w:r>
          </w:p>
        </w:tc>
        <w:tc>
          <w:tcPr>
            <w:tcW w:w="0" w:type="auto"/>
            <w:vAlign w:val="bottom"/>
          </w:tcPr>
          <w:p w14:paraId="79052D9F"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7%</w:t>
            </w:r>
          </w:p>
        </w:tc>
      </w:tr>
      <w:tr w:rsidR="00902529" w14:paraId="358D9726"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57F75F71" w14:textId="77777777" w:rsidR="00902529" w:rsidRPr="00501E5B" w:rsidRDefault="00902529" w:rsidP="00F30544">
            <w:pPr>
              <w:pStyle w:val="TableauSchmaOrganigrammecentr"/>
            </w:pPr>
            <w:r w:rsidRPr="00501E5B">
              <w:t>3_CIRED</w:t>
            </w:r>
          </w:p>
        </w:tc>
        <w:tc>
          <w:tcPr>
            <w:tcW w:w="0" w:type="auto"/>
            <w:vAlign w:val="bottom"/>
          </w:tcPr>
          <w:p w14:paraId="4815697C"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22</w:t>
            </w:r>
          </w:p>
        </w:tc>
        <w:tc>
          <w:tcPr>
            <w:tcW w:w="0" w:type="auto"/>
            <w:vAlign w:val="bottom"/>
          </w:tcPr>
          <w:p w14:paraId="787CA86A"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16</w:t>
            </w:r>
          </w:p>
        </w:tc>
        <w:tc>
          <w:tcPr>
            <w:tcW w:w="0" w:type="auto"/>
            <w:vAlign w:val="bottom"/>
          </w:tcPr>
          <w:p w14:paraId="6155D9B3"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73%</w:t>
            </w:r>
          </w:p>
        </w:tc>
      </w:tr>
      <w:tr w:rsidR="00902529" w14:paraId="511270F5"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13EC4E98" w14:textId="77777777" w:rsidR="00902529" w:rsidRPr="00501E5B" w:rsidRDefault="00902529" w:rsidP="00F30544">
            <w:pPr>
              <w:pStyle w:val="TableauSchmaOrganigrammecentr"/>
            </w:pPr>
            <w:r w:rsidRPr="00501E5B">
              <w:t>1_CEREGE</w:t>
            </w:r>
          </w:p>
        </w:tc>
        <w:tc>
          <w:tcPr>
            <w:tcW w:w="0" w:type="auto"/>
            <w:vAlign w:val="bottom"/>
          </w:tcPr>
          <w:p w14:paraId="6B8FE320"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56</w:t>
            </w:r>
          </w:p>
        </w:tc>
        <w:tc>
          <w:tcPr>
            <w:tcW w:w="0" w:type="auto"/>
            <w:vAlign w:val="bottom"/>
          </w:tcPr>
          <w:p w14:paraId="0A092E86"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5</w:t>
            </w:r>
          </w:p>
        </w:tc>
        <w:tc>
          <w:tcPr>
            <w:tcW w:w="0" w:type="auto"/>
            <w:vAlign w:val="bottom"/>
          </w:tcPr>
          <w:p w14:paraId="1D4A93BD"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9%</w:t>
            </w:r>
          </w:p>
        </w:tc>
      </w:tr>
      <w:tr w:rsidR="00902529" w14:paraId="70BA06A2"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4B8442CA" w14:textId="77777777" w:rsidR="00902529" w:rsidRPr="00501E5B" w:rsidRDefault="00902529" w:rsidP="00F30544">
            <w:pPr>
              <w:pStyle w:val="TableauSchmaOrganigrammecentr"/>
            </w:pPr>
            <w:r w:rsidRPr="00501E5B">
              <w:t>2_LOV</w:t>
            </w:r>
          </w:p>
        </w:tc>
        <w:tc>
          <w:tcPr>
            <w:tcW w:w="0" w:type="auto"/>
            <w:vAlign w:val="bottom"/>
          </w:tcPr>
          <w:p w14:paraId="2C032CC8"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46</w:t>
            </w:r>
          </w:p>
        </w:tc>
        <w:tc>
          <w:tcPr>
            <w:tcW w:w="0" w:type="auto"/>
            <w:vAlign w:val="bottom"/>
          </w:tcPr>
          <w:p w14:paraId="10D9AFA1"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w:t>
            </w:r>
          </w:p>
        </w:tc>
        <w:tc>
          <w:tcPr>
            <w:tcW w:w="0" w:type="auto"/>
            <w:vAlign w:val="bottom"/>
          </w:tcPr>
          <w:p w14:paraId="0A336518"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9%</w:t>
            </w:r>
          </w:p>
        </w:tc>
      </w:tr>
      <w:tr w:rsidR="00902529" w14:paraId="3BCD0295"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2B9D688B" w14:textId="77777777" w:rsidR="00902529" w:rsidRPr="00501E5B" w:rsidRDefault="00902529" w:rsidP="00F30544">
            <w:pPr>
              <w:pStyle w:val="TableauSchmaOrganigrammecentr"/>
            </w:pPr>
            <w:r w:rsidRPr="00501E5B">
              <w:t>2_MARBEC</w:t>
            </w:r>
          </w:p>
        </w:tc>
        <w:tc>
          <w:tcPr>
            <w:tcW w:w="0" w:type="auto"/>
            <w:vAlign w:val="bottom"/>
          </w:tcPr>
          <w:p w14:paraId="50C0615B"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46</w:t>
            </w:r>
          </w:p>
        </w:tc>
        <w:tc>
          <w:tcPr>
            <w:tcW w:w="0" w:type="auto"/>
            <w:vAlign w:val="bottom"/>
          </w:tcPr>
          <w:p w14:paraId="7F63B71F"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10</w:t>
            </w:r>
          </w:p>
        </w:tc>
        <w:tc>
          <w:tcPr>
            <w:tcW w:w="0" w:type="auto"/>
            <w:vAlign w:val="bottom"/>
          </w:tcPr>
          <w:p w14:paraId="2F752303"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22%</w:t>
            </w:r>
          </w:p>
        </w:tc>
      </w:tr>
      <w:tr w:rsidR="00902529" w14:paraId="4BA46BC4"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42E8D576" w14:textId="77777777" w:rsidR="00902529" w:rsidRPr="00501E5B" w:rsidRDefault="00902529" w:rsidP="00F30544">
            <w:pPr>
              <w:pStyle w:val="TableauSchmaOrganigrammecentr"/>
            </w:pPr>
            <w:r w:rsidRPr="00501E5B">
              <w:t>2_LIENSs</w:t>
            </w:r>
          </w:p>
        </w:tc>
        <w:tc>
          <w:tcPr>
            <w:tcW w:w="0" w:type="auto"/>
            <w:vAlign w:val="bottom"/>
          </w:tcPr>
          <w:p w14:paraId="7951E6B5"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41</w:t>
            </w:r>
          </w:p>
        </w:tc>
        <w:tc>
          <w:tcPr>
            <w:tcW w:w="0" w:type="auto"/>
            <w:vAlign w:val="bottom"/>
          </w:tcPr>
          <w:p w14:paraId="560C9B99"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15</w:t>
            </w:r>
          </w:p>
        </w:tc>
        <w:tc>
          <w:tcPr>
            <w:tcW w:w="0" w:type="auto"/>
            <w:vAlign w:val="bottom"/>
          </w:tcPr>
          <w:p w14:paraId="3CBA2183"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37%</w:t>
            </w:r>
          </w:p>
        </w:tc>
      </w:tr>
      <w:tr w:rsidR="00902529" w14:paraId="2A520FA7"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7DC71B7C" w14:textId="77777777" w:rsidR="00902529" w:rsidRPr="00501E5B" w:rsidRDefault="00902529" w:rsidP="00F30544">
            <w:pPr>
              <w:pStyle w:val="TableauSchmaOrganigrammecentr"/>
            </w:pPr>
            <w:r w:rsidRPr="00501E5B">
              <w:t>2_IMBE</w:t>
            </w:r>
          </w:p>
        </w:tc>
        <w:tc>
          <w:tcPr>
            <w:tcW w:w="0" w:type="auto"/>
            <w:vAlign w:val="bottom"/>
          </w:tcPr>
          <w:p w14:paraId="5A7669B8"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38</w:t>
            </w:r>
          </w:p>
        </w:tc>
        <w:tc>
          <w:tcPr>
            <w:tcW w:w="0" w:type="auto"/>
            <w:vAlign w:val="bottom"/>
          </w:tcPr>
          <w:p w14:paraId="0BC2937C"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7</w:t>
            </w:r>
          </w:p>
        </w:tc>
        <w:tc>
          <w:tcPr>
            <w:tcW w:w="0" w:type="auto"/>
            <w:vAlign w:val="bottom"/>
          </w:tcPr>
          <w:p w14:paraId="42A0B524"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18%</w:t>
            </w:r>
          </w:p>
        </w:tc>
      </w:tr>
      <w:tr w:rsidR="00902529" w14:paraId="43D357EA"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292F50E3" w14:textId="77777777" w:rsidR="00902529" w:rsidRPr="00501E5B" w:rsidRDefault="00902529" w:rsidP="00F30544">
            <w:pPr>
              <w:pStyle w:val="TableauSchmaOrganigrammecentr"/>
            </w:pPr>
            <w:r w:rsidRPr="00501E5B">
              <w:t>1_HSM</w:t>
            </w:r>
          </w:p>
        </w:tc>
        <w:tc>
          <w:tcPr>
            <w:tcW w:w="0" w:type="auto"/>
            <w:vAlign w:val="bottom"/>
          </w:tcPr>
          <w:p w14:paraId="173ED86D"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31</w:t>
            </w:r>
          </w:p>
        </w:tc>
        <w:tc>
          <w:tcPr>
            <w:tcW w:w="0" w:type="auto"/>
            <w:vAlign w:val="bottom"/>
          </w:tcPr>
          <w:p w14:paraId="61019DC5"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3</w:t>
            </w:r>
          </w:p>
        </w:tc>
        <w:tc>
          <w:tcPr>
            <w:tcW w:w="0" w:type="auto"/>
            <w:vAlign w:val="bottom"/>
          </w:tcPr>
          <w:p w14:paraId="160E760C"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10%</w:t>
            </w:r>
          </w:p>
        </w:tc>
      </w:tr>
      <w:tr w:rsidR="00902529" w14:paraId="26D85684"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1DE096A2" w14:textId="77777777" w:rsidR="00902529" w:rsidRPr="00501E5B" w:rsidRDefault="00902529" w:rsidP="00F30544">
            <w:pPr>
              <w:pStyle w:val="TableauSchmaOrganigrammecentr"/>
            </w:pPr>
            <w:r w:rsidRPr="00501E5B">
              <w:t>1_ISEM</w:t>
            </w:r>
          </w:p>
        </w:tc>
        <w:tc>
          <w:tcPr>
            <w:tcW w:w="0" w:type="auto"/>
            <w:vAlign w:val="bottom"/>
          </w:tcPr>
          <w:p w14:paraId="4BFF8A89"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28</w:t>
            </w:r>
          </w:p>
        </w:tc>
        <w:tc>
          <w:tcPr>
            <w:tcW w:w="0" w:type="auto"/>
            <w:vAlign w:val="bottom"/>
          </w:tcPr>
          <w:p w14:paraId="257280C3"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w:t>
            </w:r>
          </w:p>
        </w:tc>
        <w:tc>
          <w:tcPr>
            <w:tcW w:w="0" w:type="auto"/>
            <w:vAlign w:val="bottom"/>
          </w:tcPr>
          <w:p w14:paraId="34C28E42"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w:t>
            </w:r>
          </w:p>
        </w:tc>
      </w:tr>
      <w:tr w:rsidR="00902529" w14:paraId="689E7233"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547BC5F1" w14:textId="77777777" w:rsidR="00902529" w:rsidRPr="00501E5B" w:rsidRDefault="00902529" w:rsidP="00F30544">
            <w:pPr>
              <w:pStyle w:val="TableauSchmaOrganigrammecentr"/>
            </w:pPr>
            <w:r w:rsidRPr="00501E5B">
              <w:t>1_METIS</w:t>
            </w:r>
          </w:p>
        </w:tc>
        <w:tc>
          <w:tcPr>
            <w:tcW w:w="0" w:type="auto"/>
            <w:vAlign w:val="bottom"/>
          </w:tcPr>
          <w:p w14:paraId="2B658D09"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26</w:t>
            </w:r>
          </w:p>
        </w:tc>
        <w:tc>
          <w:tcPr>
            <w:tcW w:w="0" w:type="auto"/>
            <w:vAlign w:val="bottom"/>
          </w:tcPr>
          <w:p w14:paraId="71E06DFB"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w:t>
            </w:r>
          </w:p>
        </w:tc>
        <w:tc>
          <w:tcPr>
            <w:tcW w:w="0" w:type="auto"/>
            <w:vAlign w:val="bottom"/>
          </w:tcPr>
          <w:p w14:paraId="49E81C9C"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15%</w:t>
            </w:r>
          </w:p>
        </w:tc>
      </w:tr>
      <w:tr w:rsidR="00902529" w14:paraId="19A3D5B0"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218FED17" w14:textId="77777777" w:rsidR="00902529" w:rsidRPr="00501E5B" w:rsidRDefault="00902529" w:rsidP="00F30544">
            <w:pPr>
              <w:pStyle w:val="TableauSchmaOrganigrammecentr"/>
            </w:pPr>
            <w:r w:rsidRPr="00501E5B">
              <w:t>2_CEFE</w:t>
            </w:r>
          </w:p>
        </w:tc>
        <w:tc>
          <w:tcPr>
            <w:tcW w:w="0" w:type="auto"/>
            <w:vAlign w:val="bottom"/>
          </w:tcPr>
          <w:p w14:paraId="298747AD"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26</w:t>
            </w:r>
          </w:p>
        </w:tc>
        <w:tc>
          <w:tcPr>
            <w:tcW w:w="0" w:type="auto"/>
            <w:vAlign w:val="bottom"/>
          </w:tcPr>
          <w:p w14:paraId="45D573CA"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3</w:t>
            </w:r>
          </w:p>
        </w:tc>
        <w:tc>
          <w:tcPr>
            <w:tcW w:w="0" w:type="auto"/>
            <w:vAlign w:val="bottom"/>
          </w:tcPr>
          <w:p w14:paraId="28C7F236"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12%</w:t>
            </w:r>
          </w:p>
        </w:tc>
      </w:tr>
      <w:tr w:rsidR="00902529" w14:paraId="06FBEC87"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3D499322" w14:textId="77777777" w:rsidR="00902529" w:rsidRPr="00501E5B" w:rsidRDefault="00902529" w:rsidP="00F30544">
            <w:pPr>
              <w:pStyle w:val="TableauSchmaOrganigrammecentr"/>
            </w:pPr>
            <w:r w:rsidRPr="00501E5B">
              <w:t>1_LAERO</w:t>
            </w:r>
          </w:p>
        </w:tc>
        <w:tc>
          <w:tcPr>
            <w:tcW w:w="0" w:type="auto"/>
            <w:vAlign w:val="bottom"/>
          </w:tcPr>
          <w:p w14:paraId="4A9E6328"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25</w:t>
            </w:r>
          </w:p>
        </w:tc>
        <w:tc>
          <w:tcPr>
            <w:tcW w:w="0" w:type="auto"/>
            <w:vAlign w:val="bottom"/>
          </w:tcPr>
          <w:p w14:paraId="394ECD46"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w:t>
            </w:r>
          </w:p>
        </w:tc>
        <w:tc>
          <w:tcPr>
            <w:tcW w:w="0" w:type="auto"/>
            <w:vAlign w:val="bottom"/>
          </w:tcPr>
          <w:p w14:paraId="1F25C4CF"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w:t>
            </w:r>
          </w:p>
        </w:tc>
      </w:tr>
      <w:tr w:rsidR="00902529" w14:paraId="102E976E"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09ADBAC8" w14:textId="77777777" w:rsidR="00902529" w:rsidRPr="00501E5B" w:rsidRDefault="00902529" w:rsidP="00F30544">
            <w:pPr>
              <w:pStyle w:val="TableauSchmaOrganigrammecentr"/>
            </w:pPr>
            <w:r w:rsidRPr="00501E5B">
              <w:t>1_BGS</w:t>
            </w:r>
          </w:p>
        </w:tc>
        <w:tc>
          <w:tcPr>
            <w:tcW w:w="0" w:type="auto"/>
            <w:vAlign w:val="bottom"/>
          </w:tcPr>
          <w:p w14:paraId="68E345EC"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23</w:t>
            </w:r>
          </w:p>
        </w:tc>
        <w:tc>
          <w:tcPr>
            <w:tcW w:w="0" w:type="auto"/>
            <w:vAlign w:val="bottom"/>
          </w:tcPr>
          <w:p w14:paraId="71FE6292"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w:t>
            </w:r>
          </w:p>
        </w:tc>
        <w:tc>
          <w:tcPr>
            <w:tcW w:w="0" w:type="auto"/>
            <w:vAlign w:val="bottom"/>
          </w:tcPr>
          <w:p w14:paraId="47187433"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4%</w:t>
            </w:r>
          </w:p>
        </w:tc>
      </w:tr>
      <w:tr w:rsidR="00902529" w14:paraId="075725C4" w14:textId="77777777" w:rsidTr="00F30544">
        <w:tc>
          <w:tcPr>
            <w:cnfStyle w:val="001000000000" w:firstRow="0" w:lastRow="0" w:firstColumn="1" w:lastColumn="0" w:oddVBand="0" w:evenVBand="0" w:oddHBand="0" w:evenHBand="0" w:firstRowFirstColumn="0" w:firstRowLastColumn="0" w:lastRowFirstColumn="0" w:lastRowLastColumn="0"/>
            <w:tcW w:w="0" w:type="auto"/>
            <w:vAlign w:val="bottom"/>
          </w:tcPr>
          <w:p w14:paraId="667414B3" w14:textId="77777777" w:rsidR="00902529" w:rsidRPr="00501E5B" w:rsidRDefault="00902529" w:rsidP="00F30544">
            <w:pPr>
              <w:pStyle w:val="TableauSchmaOrganigrammecentr"/>
            </w:pPr>
            <w:r w:rsidRPr="00501E5B">
              <w:t>2_GET</w:t>
            </w:r>
          </w:p>
        </w:tc>
        <w:tc>
          <w:tcPr>
            <w:tcW w:w="0" w:type="auto"/>
            <w:vAlign w:val="bottom"/>
          </w:tcPr>
          <w:p w14:paraId="0E4B0AA5"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20</w:t>
            </w:r>
          </w:p>
        </w:tc>
        <w:tc>
          <w:tcPr>
            <w:tcW w:w="0" w:type="auto"/>
            <w:vAlign w:val="bottom"/>
          </w:tcPr>
          <w:p w14:paraId="6FE419D4"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1</w:t>
            </w:r>
          </w:p>
        </w:tc>
        <w:tc>
          <w:tcPr>
            <w:tcW w:w="0" w:type="auto"/>
            <w:vAlign w:val="bottom"/>
          </w:tcPr>
          <w:p w14:paraId="1CBFDB92" w14:textId="77777777" w:rsidR="00902529" w:rsidRPr="00501E5B"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501E5B">
              <w:t>5%</w:t>
            </w:r>
          </w:p>
        </w:tc>
      </w:tr>
    </w:tbl>
    <w:p w14:paraId="35508CBF" w14:textId="77777777" w:rsidR="00902529" w:rsidRPr="00501E5B" w:rsidRDefault="00902529" w:rsidP="00902529">
      <w:pPr>
        <w:pStyle w:val="TexteSource"/>
      </w:pPr>
      <w:r w:rsidRPr="00501E5B">
        <w:t xml:space="preserve">Source : analyses Cour des comptes d’après les citations du GIEC (6e cycle) croisées avec l’outil Hal. La recherche pour l’adaptation correspond aux publications citées par le groupe 1 ou le groupe 2 du GIEC. La recherche en adaptation est identifiée par application d’un filtre sémantique dérivé de Nalau et Verall sur l’ensemble des publications citées par le GIEC pour les </w:t>
      </w:r>
      <w:r>
        <w:t xml:space="preserve">laboratoires </w:t>
      </w:r>
      <w:r w:rsidRPr="00501E5B">
        <w:t xml:space="preserve">concernés. </w:t>
      </w:r>
      <w:r>
        <w:t>Le numéro indiqué en vis-à-vis de chaque laboratoire indique le groupe du GIEC où il est le plus cité.</w:t>
      </w:r>
    </w:p>
    <w:p w14:paraId="6E344C3B" w14:textId="77777777" w:rsidR="00902529" w:rsidRPr="00843E25" w:rsidRDefault="00902529" w:rsidP="00902529">
      <w:pPr>
        <w:pStyle w:val="TexteSource"/>
      </w:pPr>
    </w:p>
    <w:p w14:paraId="675D7342" w14:textId="77777777" w:rsidR="00902529" w:rsidRDefault="00902529" w:rsidP="00902529">
      <w:pPr>
        <w:pStyle w:val="Titregraphique"/>
        <w:spacing w:before="400"/>
      </w:pPr>
      <w:r w:rsidRPr="001F20CB">
        <w:rPr>
          <w:noProof/>
        </w:rPr>
        <w:lastRenderedPageBreak/>
        <w:drawing>
          <wp:anchor distT="0" distB="0" distL="114300" distR="114300" simplePos="0" relativeHeight="251677696" behindDoc="0" locked="0" layoutInCell="1" allowOverlap="1" wp14:anchorId="7911F567" wp14:editId="410073FE">
            <wp:simplePos x="0" y="0"/>
            <wp:positionH relativeFrom="margin">
              <wp:align>left</wp:align>
            </wp:positionH>
            <wp:positionV relativeFrom="paragraph">
              <wp:posOffset>492125</wp:posOffset>
            </wp:positionV>
            <wp:extent cx="5374005" cy="2751455"/>
            <wp:effectExtent l="0" t="0" r="17145" b="10795"/>
            <wp:wrapTopAndBottom/>
            <wp:docPr id="18" name="Graphique 18">
              <a:extLst xmlns:a="http://schemas.openxmlformats.org/drawingml/2006/main">
                <a:ext uri="{FF2B5EF4-FFF2-40B4-BE49-F238E27FC236}">
                  <a16:creationId xmlns:a16="http://schemas.microsoft.com/office/drawing/2014/main" id="{5F13105F-BEAE-4A6B-96A8-37A9A1B661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page">
              <wp14:pctWidth>0</wp14:pctWidth>
            </wp14:sizeRelH>
            <wp14:sizeRelV relativeFrom="page">
              <wp14:pctHeight>0</wp14:pctHeight>
            </wp14:sizeRelV>
          </wp:anchor>
        </w:drawing>
      </w:r>
      <w:r>
        <w:t> Profils de citations des 20 premiers laboratoires cités par le GIEC (en %)</w:t>
      </w:r>
    </w:p>
    <w:p w14:paraId="071BA6B0" w14:textId="77777777" w:rsidR="00902529" w:rsidRDefault="00902529" w:rsidP="00902529">
      <w:pPr>
        <w:pStyle w:val="TexteSource"/>
      </w:pPr>
      <w:r w:rsidRPr="003771A7">
        <w:t>Source : analyses Cour des comptes d’après les citations du GIEC (6e cycle) croisées avec l’outil Hal.</w:t>
      </w:r>
      <w:r>
        <w:t xml:space="preserve"> Le numéro indiqué en vis-à-vis de chaque laboratoire indique le groupe du GIEC où il est le plus cité. </w:t>
      </w:r>
    </w:p>
    <w:p w14:paraId="4AD65D24" w14:textId="77777777" w:rsidR="00902529" w:rsidRDefault="00902529" w:rsidP="00902529">
      <w:pPr>
        <w:pStyle w:val="Titretableau"/>
        <w:spacing w:before="400"/>
      </w:pPr>
      <w:r>
        <w:t> Disciplines des laboratoires impliqués dans la recherche pour l’adaptation et la recherche en adaptation</w:t>
      </w:r>
    </w:p>
    <w:tbl>
      <w:tblPr>
        <w:tblStyle w:val="TABLEAURAPPORTPUBLICANNUEL"/>
        <w:tblW w:w="0" w:type="auto"/>
        <w:tblInd w:w="-737" w:type="dxa"/>
        <w:tblLayout w:type="fixed"/>
        <w:tblLook w:val="04A0" w:firstRow="1" w:lastRow="0" w:firstColumn="1" w:lastColumn="0" w:noHBand="0" w:noVBand="1"/>
      </w:tblPr>
      <w:tblGrid>
        <w:gridCol w:w="1901"/>
        <w:gridCol w:w="1385"/>
        <w:gridCol w:w="1854"/>
        <w:gridCol w:w="1802"/>
        <w:gridCol w:w="1499"/>
        <w:gridCol w:w="1356"/>
      </w:tblGrid>
      <w:tr w:rsidR="00902529" w14:paraId="1E18607D" w14:textId="77777777" w:rsidTr="00F305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01" w:type="dxa"/>
            <w:vAlign w:val="top"/>
          </w:tcPr>
          <w:p w14:paraId="1CC0188E" w14:textId="77777777" w:rsidR="00902529" w:rsidRPr="00BF4C34" w:rsidRDefault="00902529" w:rsidP="00F30544">
            <w:pPr>
              <w:pStyle w:val="TableauSchmaOrganigrammecentr"/>
            </w:pPr>
            <w:r>
              <w:t>D</w:t>
            </w:r>
            <w:r w:rsidRPr="00BF4C34">
              <w:t>omaine scientifique</w:t>
            </w:r>
          </w:p>
        </w:tc>
        <w:tc>
          <w:tcPr>
            <w:tcW w:w="1385" w:type="dxa"/>
            <w:vAlign w:val="top"/>
          </w:tcPr>
          <w:p w14:paraId="107AB756" w14:textId="77777777" w:rsidR="00902529" w:rsidRPr="00BF4C34"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t>Nombre total de laboratoires</w:t>
            </w:r>
          </w:p>
        </w:tc>
        <w:tc>
          <w:tcPr>
            <w:tcW w:w="1854" w:type="dxa"/>
            <w:vAlign w:val="top"/>
          </w:tcPr>
          <w:p w14:paraId="4ED8171D" w14:textId="77777777" w:rsidR="00902529" w:rsidRPr="00BF4C34"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t>Nombre de laboratoires impliqués dans la recherche pour l’adaptation</w:t>
            </w:r>
          </w:p>
        </w:tc>
        <w:tc>
          <w:tcPr>
            <w:tcW w:w="1802" w:type="dxa"/>
            <w:vAlign w:val="top"/>
          </w:tcPr>
          <w:p w14:paraId="52FB8834" w14:textId="77777777" w:rsidR="00902529" w:rsidRPr="00BF4C34"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C05B87">
              <w:t xml:space="preserve">Nombre de laboratoires impliqués dans la recherche </w:t>
            </w:r>
            <w:r>
              <w:t>en adaptation</w:t>
            </w:r>
          </w:p>
        </w:tc>
        <w:tc>
          <w:tcPr>
            <w:tcW w:w="1499" w:type="dxa"/>
            <w:vAlign w:val="top"/>
          </w:tcPr>
          <w:p w14:paraId="16A51679" w14:textId="77777777" w:rsidR="00902529" w:rsidRPr="00BF4C34"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t>Part de la recherche pour l’adaptation</w:t>
            </w:r>
          </w:p>
        </w:tc>
        <w:tc>
          <w:tcPr>
            <w:tcW w:w="1356" w:type="dxa"/>
            <w:vAlign w:val="top"/>
          </w:tcPr>
          <w:p w14:paraId="565BE2CB" w14:textId="77777777" w:rsidR="00902529" w:rsidRPr="00BF4C34" w:rsidRDefault="00902529" w:rsidP="00F30544">
            <w:pPr>
              <w:pStyle w:val="TableauSchmaOrganigrammecentr"/>
              <w:cnfStyle w:val="100000000000" w:firstRow="1" w:lastRow="0" w:firstColumn="0" w:lastColumn="0" w:oddVBand="0" w:evenVBand="0" w:oddHBand="0" w:evenHBand="0" w:firstRowFirstColumn="0" w:firstRowLastColumn="0" w:lastRowFirstColumn="0" w:lastRowLastColumn="0"/>
            </w:pPr>
            <w:r w:rsidRPr="00C05B87">
              <w:t xml:space="preserve">Part de la recherche </w:t>
            </w:r>
            <w:r>
              <w:t>en adaptation</w:t>
            </w:r>
          </w:p>
        </w:tc>
      </w:tr>
      <w:tr w:rsidR="00902529" w14:paraId="1B71D3AE"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283A4D9D" w14:textId="77777777" w:rsidR="00902529" w:rsidRPr="00BF4C34" w:rsidRDefault="00902529" w:rsidP="00F30544">
            <w:pPr>
              <w:pStyle w:val="TableauSchmaOrganigrammecentr"/>
            </w:pPr>
            <w:r w:rsidRPr="00BF4C34">
              <w:t>Sciences de la terre et de l'univers, espace</w:t>
            </w:r>
          </w:p>
        </w:tc>
        <w:tc>
          <w:tcPr>
            <w:tcW w:w="1385" w:type="dxa"/>
            <w:vAlign w:val="top"/>
          </w:tcPr>
          <w:p w14:paraId="5FC04E55"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159</w:t>
            </w:r>
          </w:p>
        </w:tc>
        <w:tc>
          <w:tcPr>
            <w:tcW w:w="1854" w:type="dxa"/>
            <w:vAlign w:val="top"/>
          </w:tcPr>
          <w:p w14:paraId="6F8A0BF6"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65</w:t>
            </w:r>
          </w:p>
        </w:tc>
        <w:tc>
          <w:tcPr>
            <w:tcW w:w="1802" w:type="dxa"/>
            <w:vAlign w:val="top"/>
          </w:tcPr>
          <w:p w14:paraId="1DF9CA97"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36</w:t>
            </w:r>
          </w:p>
        </w:tc>
        <w:tc>
          <w:tcPr>
            <w:tcW w:w="1499" w:type="dxa"/>
            <w:vAlign w:val="top"/>
          </w:tcPr>
          <w:p w14:paraId="12DDBDD4"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41%</w:t>
            </w:r>
          </w:p>
        </w:tc>
        <w:tc>
          <w:tcPr>
            <w:tcW w:w="1356" w:type="dxa"/>
            <w:vAlign w:val="top"/>
          </w:tcPr>
          <w:p w14:paraId="5FC81F9E"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23%</w:t>
            </w:r>
          </w:p>
        </w:tc>
      </w:tr>
      <w:tr w:rsidR="00902529" w14:paraId="70135EDE"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78D28789" w14:textId="77777777" w:rsidR="00902529" w:rsidRPr="00BF4C34" w:rsidRDefault="00902529" w:rsidP="00F30544">
            <w:pPr>
              <w:pStyle w:val="TableauSchmaOrganigrammecentr"/>
            </w:pPr>
            <w:r w:rsidRPr="00BF4C34">
              <w:t>Sciences agronomiques et écologiques</w:t>
            </w:r>
          </w:p>
        </w:tc>
        <w:tc>
          <w:tcPr>
            <w:tcW w:w="1385" w:type="dxa"/>
            <w:vAlign w:val="top"/>
          </w:tcPr>
          <w:p w14:paraId="3FA67DFE"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365</w:t>
            </w:r>
          </w:p>
        </w:tc>
        <w:tc>
          <w:tcPr>
            <w:tcW w:w="1854" w:type="dxa"/>
            <w:vAlign w:val="top"/>
          </w:tcPr>
          <w:p w14:paraId="713C506A"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90</w:t>
            </w:r>
          </w:p>
        </w:tc>
        <w:tc>
          <w:tcPr>
            <w:tcW w:w="1802" w:type="dxa"/>
            <w:vAlign w:val="top"/>
          </w:tcPr>
          <w:p w14:paraId="31E5D5D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52</w:t>
            </w:r>
          </w:p>
        </w:tc>
        <w:tc>
          <w:tcPr>
            <w:tcW w:w="1499" w:type="dxa"/>
            <w:vAlign w:val="top"/>
          </w:tcPr>
          <w:p w14:paraId="594A53BA"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25%</w:t>
            </w:r>
          </w:p>
        </w:tc>
        <w:tc>
          <w:tcPr>
            <w:tcW w:w="1356" w:type="dxa"/>
            <w:vAlign w:val="top"/>
          </w:tcPr>
          <w:p w14:paraId="137AFB9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14%</w:t>
            </w:r>
          </w:p>
        </w:tc>
      </w:tr>
      <w:tr w:rsidR="00902529" w14:paraId="112EA0D6"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322B6AA1" w14:textId="77777777" w:rsidR="00902529" w:rsidRPr="00BF4C34" w:rsidRDefault="00902529" w:rsidP="00F30544">
            <w:pPr>
              <w:pStyle w:val="TableauSchmaOrganigrammecentr"/>
            </w:pPr>
            <w:r w:rsidRPr="00BF4C34">
              <w:t>Physique</w:t>
            </w:r>
          </w:p>
        </w:tc>
        <w:tc>
          <w:tcPr>
            <w:tcW w:w="1385" w:type="dxa"/>
            <w:vAlign w:val="top"/>
          </w:tcPr>
          <w:p w14:paraId="46A65F41"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213</w:t>
            </w:r>
          </w:p>
        </w:tc>
        <w:tc>
          <w:tcPr>
            <w:tcW w:w="1854" w:type="dxa"/>
            <w:vAlign w:val="top"/>
          </w:tcPr>
          <w:p w14:paraId="77A1265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22</w:t>
            </w:r>
          </w:p>
        </w:tc>
        <w:tc>
          <w:tcPr>
            <w:tcW w:w="1802" w:type="dxa"/>
            <w:vAlign w:val="top"/>
          </w:tcPr>
          <w:p w14:paraId="7C49B13F"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4</w:t>
            </w:r>
          </w:p>
        </w:tc>
        <w:tc>
          <w:tcPr>
            <w:tcW w:w="1499" w:type="dxa"/>
            <w:vAlign w:val="top"/>
          </w:tcPr>
          <w:p w14:paraId="3221BAA5"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10%</w:t>
            </w:r>
          </w:p>
        </w:tc>
        <w:tc>
          <w:tcPr>
            <w:tcW w:w="1356" w:type="dxa"/>
            <w:vAlign w:val="top"/>
          </w:tcPr>
          <w:p w14:paraId="5302100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w:t>
            </w:r>
          </w:p>
        </w:tc>
      </w:tr>
      <w:tr w:rsidR="00902529" w14:paraId="3390F5D6"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44DCEA9D" w14:textId="77777777" w:rsidR="00902529" w:rsidRPr="00BF4C34" w:rsidRDefault="00902529" w:rsidP="00F30544">
            <w:pPr>
              <w:pStyle w:val="TableauSchmaOrganigrammecentr"/>
            </w:pPr>
            <w:r w:rsidRPr="00BF4C34">
              <w:t>Sciences pour l'ingénieur</w:t>
            </w:r>
          </w:p>
        </w:tc>
        <w:tc>
          <w:tcPr>
            <w:tcW w:w="1385" w:type="dxa"/>
            <w:vAlign w:val="top"/>
          </w:tcPr>
          <w:p w14:paraId="6A215DB4"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363</w:t>
            </w:r>
          </w:p>
        </w:tc>
        <w:tc>
          <w:tcPr>
            <w:tcW w:w="1854" w:type="dxa"/>
            <w:vAlign w:val="top"/>
          </w:tcPr>
          <w:p w14:paraId="1D14A5F9"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37</w:t>
            </w:r>
          </w:p>
        </w:tc>
        <w:tc>
          <w:tcPr>
            <w:tcW w:w="1802" w:type="dxa"/>
            <w:vAlign w:val="top"/>
          </w:tcPr>
          <w:p w14:paraId="3C30044B"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10</w:t>
            </w:r>
          </w:p>
        </w:tc>
        <w:tc>
          <w:tcPr>
            <w:tcW w:w="1499" w:type="dxa"/>
            <w:vAlign w:val="top"/>
          </w:tcPr>
          <w:p w14:paraId="19218BF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10%</w:t>
            </w:r>
          </w:p>
        </w:tc>
        <w:tc>
          <w:tcPr>
            <w:tcW w:w="1356" w:type="dxa"/>
            <w:vAlign w:val="top"/>
          </w:tcPr>
          <w:p w14:paraId="37041B1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w:t>
            </w:r>
          </w:p>
        </w:tc>
      </w:tr>
      <w:tr w:rsidR="00902529" w14:paraId="43724445"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5B33E576" w14:textId="77777777" w:rsidR="00902529" w:rsidRPr="00BF4C34" w:rsidRDefault="00902529" w:rsidP="00F30544">
            <w:pPr>
              <w:pStyle w:val="TableauSchmaOrganigrammecentr"/>
            </w:pPr>
            <w:r w:rsidRPr="00BF4C34">
              <w:t>Chimie</w:t>
            </w:r>
          </w:p>
        </w:tc>
        <w:tc>
          <w:tcPr>
            <w:tcW w:w="1385" w:type="dxa"/>
            <w:vAlign w:val="top"/>
          </w:tcPr>
          <w:p w14:paraId="70F6CE16"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250</w:t>
            </w:r>
          </w:p>
        </w:tc>
        <w:tc>
          <w:tcPr>
            <w:tcW w:w="1854" w:type="dxa"/>
            <w:vAlign w:val="top"/>
          </w:tcPr>
          <w:p w14:paraId="474D0340"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18</w:t>
            </w:r>
          </w:p>
        </w:tc>
        <w:tc>
          <w:tcPr>
            <w:tcW w:w="1802" w:type="dxa"/>
            <w:vAlign w:val="top"/>
          </w:tcPr>
          <w:p w14:paraId="70827F65"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w:t>
            </w:r>
          </w:p>
        </w:tc>
        <w:tc>
          <w:tcPr>
            <w:tcW w:w="1499" w:type="dxa"/>
            <w:vAlign w:val="top"/>
          </w:tcPr>
          <w:p w14:paraId="595E3B07"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7%</w:t>
            </w:r>
          </w:p>
        </w:tc>
        <w:tc>
          <w:tcPr>
            <w:tcW w:w="1356" w:type="dxa"/>
            <w:vAlign w:val="top"/>
          </w:tcPr>
          <w:p w14:paraId="0F0B66C5"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w:t>
            </w:r>
          </w:p>
        </w:tc>
      </w:tr>
      <w:tr w:rsidR="00902529" w14:paraId="18C4B85C"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11B1E775" w14:textId="77777777" w:rsidR="00902529" w:rsidRPr="00BF4C34" w:rsidRDefault="00902529" w:rsidP="00F30544">
            <w:pPr>
              <w:pStyle w:val="TableauSchmaOrganigrammecentr"/>
            </w:pPr>
            <w:r w:rsidRPr="00BF4C34">
              <w:t>Sciences de la société</w:t>
            </w:r>
          </w:p>
        </w:tc>
        <w:tc>
          <w:tcPr>
            <w:tcW w:w="1385" w:type="dxa"/>
            <w:vAlign w:val="top"/>
          </w:tcPr>
          <w:p w14:paraId="7109258E"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460</w:t>
            </w:r>
          </w:p>
        </w:tc>
        <w:tc>
          <w:tcPr>
            <w:tcW w:w="1854" w:type="dxa"/>
            <w:vAlign w:val="top"/>
          </w:tcPr>
          <w:p w14:paraId="06F29F51"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31</w:t>
            </w:r>
          </w:p>
        </w:tc>
        <w:tc>
          <w:tcPr>
            <w:tcW w:w="1802" w:type="dxa"/>
            <w:vAlign w:val="top"/>
          </w:tcPr>
          <w:p w14:paraId="24D69B1A"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16</w:t>
            </w:r>
          </w:p>
        </w:tc>
        <w:tc>
          <w:tcPr>
            <w:tcW w:w="1499" w:type="dxa"/>
            <w:vAlign w:val="top"/>
          </w:tcPr>
          <w:p w14:paraId="58090285"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7%</w:t>
            </w:r>
          </w:p>
        </w:tc>
        <w:tc>
          <w:tcPr>
            <w:tcW w:w="1356" w:type="dxa"/>
            <w:vAlign w:val="top"/>
          </w:tcPr>
          <w:p w14:paraId="6CB28C7E"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w:t>
            </w:r>
          </w:p>
        </w:tc>
      </w:tr>
      <w:tr w:rsidR="00902529" w14:paraId="221C3FAF"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4DE15B31" w14:textId="77777777" w:rsidR="00902529" w:rsidRPr="00BF4C34" w:rsidRDefault="00902529" w:rsidP="00F30544">
            <w:pPr>
              <w:pStyle w:val="TableauSchmaOrganigrammecentr"/>
            </w:pPr>
            <w:r w:rsidRPr="00BF4C34">
              <w:t>Sciences humaines et humanités</w:t>
            </w:r>
          </w:p>
        </w:tc>
        <w:tc>
          <w:tcPr>
            <w:tcW w:w="1385" w:type="dxa"/>
            <w:vAlign w:val="top"/>
          </w:tcPr>
          <w:p w14:paraId="5974425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662</w:t>
            </w:r>
          </w:p>
        </w:tc>
        <w:tc>
          <w:tcPr>
            <w:tcW w:w="1854" w:type="dxa"/>
            <w:vAlign w:val="top"/>
          </w:tcPr>
          <w:p w14:paraId="5C22C246"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40</w:t>
            </w:r>
          </w:p>
        </w:tc>
        <w:tc>
          <w:tcPr>
            <w:tcW w:w="1802" w:type="dxa"/>
            <w:vAlign w:val="top"/>
          </w:tcPr>
          <w:p w14:paraId="3C83E520"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19</w:t>
            </w:r>
          </w:p>
        </w:tc>
        <w:tc>
          <w:tcPr>
            <w:tcW w:w="1499" w:type="dxa"/>
            <w:vAlign w:val="top"/>
          </w:tcPr>
          <w:p w14:paraId="2AF9D378"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6%</w:t>
            </w:r>
          </w:p>
        </w:tc>
        <w:tc>
          <w:tcPr>
            <w:tcW w:w="1356" w:type="dxa"/>
            <w:vAlign w:val="top"/>
          </w:tcPr>
          <w:p w14:paraId="4D326A13"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3%</w:t>
            </w:r>
          </w:p>
        </w:tc>
      </w:tr>
      <w:tr w:rsidR="00902529" w14:paraId="7677C1C3"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30C3DBD1" w14:textId="77777777" w:rsidR="00902529" w:rsidRPr="00BF4C34" w:rsidRDefault="00902529" w:rsidP="00F30544">
            <w:pPr>
              <w:pStyle w:val="TableauSchmaOrganigrammecentr"/>
            </w:pPr>
            <w:r w:rsidRPr="00BF4C34">
              <w:t>Sciences et technologies de l'information et de la communication</w:t>
            </w:r>
          </w:p>
        </w:tc>
        <w:tc>
          <w:tcPr>
            <w:tcW w:w="1385" w:type="dxa"/>
            <w:vAlign w:val="top"/>
          </w:tcPr>
          <w:p w14:paraId="64D4A017"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466</w:t>
            </w:r>
          </w:p>
        </w:tc>
        <w:tc>
          <w:tcPr>
            <w:tcW w:w="1854" w:type="dxa"/>
            <w:vAlign w:val="top"/>
          </w:tcPr>
          <w:p w14:paraId="4C0E70EA"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22</w:t>
            </w:r>
          </w:p>
        </w:tc>
        <w:tc>
          <w:tcPr>
            <w:tcW w:w="1802" w:type="dxa"/>
            <w:vAlign w:val="top"/>
          </w:tcPr>
          <w:p w14:paraId="610EA3B0"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10</w:t>
            </w:r>
          </w:p>
        </w:tc>
        <w:tc>
          <w:tcPr>
            <w:tcW w:w="1499" w:type="dxa"/>
            <w:vAlign w:val="top"/>
          </w:tcPr>
          <w:p w14:paraId="09AA793F"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5%</w:t>
            </w:r>
          </w:p>
        </w:tc>
        <w:tc>
          <w:tcPr>
            <w:tcW w:w="1356" w:type="dxa"/>
            <w:vAlign w:val="top"/>
          </w:tcPr>
          <w:p w14:paraId="6BFA2559"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w:t>
            </w:r>
          </w:p>
        </w:tc>
      </w:tr>
      <w:tr w:rsidR="00902529" w14:paraId="4BDD3DEE" w14:textId="77777777" w:rsidTr="00F30544">
        <w:tc>
          <w:tcPr>
            <w:cnfStyle w:val="001000000000" w:firstRow="0" w:lastRow="0" w:firstColumn="1" w:lastColumn="0" w:oddVBand="0" w:evenVBand="0" w:oddHBand="0" w:evenHBand="0" w:firstRowFirstColumn="0" w:firstRowLastColumn="0" w:lastRowFirstColumn="0" w:lastRowLastColumn="0"/>
            <w:tcW w:w="1901" w:type="dxa"/>
            <w:vAlign w:val="top"/>
          </w:tcPr>
          <w:p w14:paraId="6B514E8C" w14:textId="77777777" w:rsidR="00902529" w:rsidRPr="00BF4C34" w:rsidRDefault="00902529" w:rsidP="00F30544">
            <w:pPr>
              <w:pStyle w:val="TableauSchmaOrganigrammecentr"/>
            </w:pPr>
            <w:r w:rsidRPr="00BF4C34">
              <w:t>Biologie, médecine et santé</w:t>
            </w:r>
          </w:p>
        </w:tc>
        <w:tc>
          <w:tcPr>
            <w:tcW w:w="1385" w:type="dxa"/>
            <w:vAlign w:val="top"/>
          </w:tcPr>
          <w:p w14:paraId="293F42AD"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1057</w:t>
            </w:r>
          </w:p>
        </w:tc>
        <w:tc>
          <w:tcPr>
            <w:tcW w:w="1854" w:type="dxa"/>
            <w:vAlign w:val="top"/>
          </w:tcPr>
          <w:p w14:paraId="7AEDBD63"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40</w:t>
            </w:r>
          </w:p>
        </w:tc>
        <w:tc>
          <w:tcPr>
            <w:tcW w:w="1802" w:type="dxa"/>
            <w:vAlign w:val="top"/>
          </w:tcPr>
          <w:p w14:paraId="0D87774E"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17</w:t>
            </w:r>
          </w:p>
        </w:tc>
        <w:tc>
          <w:tcPr>
            <w:tcW w:w="1499" w:type="dxa"/>
            <w:vAlign w:val="top"/>
          </w:tcPr>
          <w:p w14:paraId="20F89406"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4%</w:t>
            </w:r>
          </w:p>
        </w:tc>
        <w:tc>
          <w:tcPr>
            <w:tcW w:w="1356" w:type="dxa"/>
            <w:vAlign w:val="top"/>
          </w:tcPr>
          <w:p w14:paraId="7B5375DB" w14:textId="77777777" w:rsidR="00902529" w:rsidRPr="00BF4C34" w:rsidRDefault="00902529" w:rsidP="00F30544">
            <w:pPr>
              <w:pStyle w:val="TableauSchmaOrganigrammecentr"/>
              <w:cnfStyle w:val="000000000000" w:firstRow="0" w:lastRow="0" w:firstColumn="0" w:lastColumn="0" w:oddVBand="0" w:evenVBand="0" w:oddHBand="0" w:evenHBand="0" w:firstRowFirstColumn="0" w:firstRowLastColumn="0" w:lastRowFirstColumn="0" w:lastRowLastColumn="0"/>
            </w:pPr>
            <w:r w:rsidRPr="00BF4C34">
              <w:t>2%</w:t>
            </w:r>
          </w:p>
        </w:tc>
      </w:tr>
    </w:tbl>
    <w:p w14:paraId="6DB2E6F0" w14:textId="05B2607B" w:rsidR="00902529" w:rsidRPr="00C77D2E" w:rsidRDefault="00902529" w:rsidP="00C77D2E">
      <w:pPr>
        <w:pStyle w:val="TexteSource"/>
      </w:pPr>
      <w:r>
        <w:t>Source :</w:t>
      </w:r>
      <w:r w:rsidRPr="001B6A34">
        <w:t xml:space="preserve"> analyses Cour des comptes d’après les citations du GIEC (6e cycle) croisées avec l’outil Hal. La recherche en adaptation est identifiée par application d’un filtre sémantique dérivé de Nalau et Verall sur l’ensemble des publications citées par le GIEC pour les </w:t>
      </w:r>
      <w:r>
        <w:t>laboratoires concernés.</w:t>
      </w:r>
      <w:r w:rsidR="00713CBF">
        <w:t xml:space="preserve"> </w:t>
      </w:r>
      <w:r w:rsidR="00713CBF" w:rsidRPr="00713CBF">
        <w:t>Au niveau des disciplines</w:t>
      </w:r>
      <w:r w:rsidR="00713CBF">
        <w:t xml:space="preserve"> des laboratoires</w:t>
      </w:r>
      <w:r w:rsidR="00713CBF" w:rsidRPr="00713CBF">
        <w:t>, les sciences de la terre et de l'univers ainsi que les sciences agronomiques et écologiques prévalent dans la recherche pour l’adaptation et la recherche en adaptation. À l’inverse, le secteur biologie – santé est très peu représenté.</w:t>
      </w:r>
    </w:p>
    <w:p w14:paraId="6EE66984" w14:textId="1BE34483" w:rsidR="001C5C95" w:rsidRPr="00F24D74" w:rsidRDefault="004900F5" w:rsidP="000F2B93">
      <w:pPr>
        <w:pStyle w:val="Titre1"/>
        <w:jc w:val="center"/>
      </w:pPr>
      <w:bookmarkStart w:id="25" w:name="_Toc160528288"/>
      <w:r>
        <w:lastRenderedPageBreak/>
        <w:t>M</w:t>
      </w:r>
      <w:r w:rsidR="001C5C95">
        <w:t>oyens financiers</w:t>
      </w:r>
      <w:bookmarkEnd w:id="25"/>
    </w:p>
    <w:p w14:paraId="5628468C" w14:textId="629D6881" w:rsidR="00197820" w:rsidRPr="001B1226" w:rsidRDefault="0071188A" w:rsidP="00197820">
      <w:pPr>
        <w:rPr>
          <w:u w:val="single"/>
        </w:rPr>
      </w:pPr>
      <w:r w:rsidRPr="00F61836">
        <w:rPr>
          <w:u w:val="single"/>
        </w:rPr>
        <w:t>Comparaison des bailleurs internationaux sur la base de sources scientométriques</w:t>
      </w:r>
    </w:p>
    <w:p w14:paraId="149BC2CD" w14:textId="4170E9CA" w:rsidR="00197820" w:rsidRDefault="00197820" w:rsidP="00197820">
      <w:r>
        <w:t xml:space="preserve">Deux méthodes ont été comparées pour positionner les bailleurs </w:t>
      </w:r>
      <w:r w:rsidRPr="00197820">
        <w:t>indiqués dans les publications citées par le GIEC</w:t>
      </w:r>
      <w:r>
        <w:t xml:space="preserve"> sur la base du </w:t>
      </w:r>
      <w:r w:rsidRPr="00844EFE">
        <w:t>nombre d’articles citant le bailleur</w:t>
      </w:r>
      <w:r>
        <w:t xml:space="preserve"> : le retraitement des bailleurs sur la base des données « </w:t>
      </w:r>
      <w:r w:rsidRPr="00F61836">
        <w:rPr>
          <w:i/>
        </w:rPr>
        <w:t>Web of Science</w:t>
      </w:r>
      <w:r>
        <w:t> » communiquées par l’ANR ainsi que la méthode de classification fondée sur les journaux identifiés dans l’annexe n°2</w:t>
      </w:r>
      <w:r w:rsidR="009258DF">
        <w:t xml:space="preserve"> en mobilisant l’outil InCites</w:t>
      </w:r>
      <w:r>
        <w:t>.</w:t>
      </w:r>
      <w:r w:rsidRPr="00197820">
        <w:t xml:space="preserve"> </w:t>
      </w:r>
    </w:p>
    <w:p w14:paraId="0A3DEA6C" w14:textId="42831D38" w:rsidR="0006323E" w:rsidRDefault="009258DF" w:rsidP="00197820">
      <w:r w:rsidRPr="00844EFE">
        <w:t xml:space="preserve">La gestion des synonymes diffère suivant les sources : </w:t>
      </w:r>
      <w:r>
        <w:t>« </w:t>
      </w:r>
      <w:r w:rsidRPr="00844EFE">
        <w:rPr>
          <w:i/>
        </w:rPr>
        <w:t>Web of Science</w:t>
      </w:r>
      <w:r>
        <w:t> »</w:t>
      </w:r>
      <w:r w:rsidRPr="00844EFE">
        <w:t xml:space="preserve"> liste </w:t>
      </w:r>
      <w:r>
        <w:t>d</w:t>
      </w:r>
      <w:r w:rsidRPr="00844EFE">
        <w:t>es dénominations de</w:t>
      </w:r>
      <w:r>
        <w:t>s</w:t>
      </w:r>
      <w:r w:rsidRPr="00844EFE">
        <w:t xml:space="preserve"> bailleurs, de leurs composantes et/ou de leurs instruments de financement alors qu’InCites gère ces synonymes de façon « </w:t>
      </w:r>
      <w:r w:rsidRPr="00F61836">
        <w:rPr>
          <w:i/>
        </w:rPr>
        <w:t>automatique</w:t>
      </w:r>
      <w:r w:rsidRPr="00844EFE">
        <w:t xml:space="preserve"> »</w:t>
      </w:r>
      <w:r>
        <w:t>.</w:t>
      </w:r>
      <w:r w:rsidR="0006323E">
        <w:t xml:space="preserve"> </w:t>
      </w:r>
    </w:p>
    <w:p w14:paraId="5225E756" w14:textId="5F6816E5" w:rsidR="0006323E" w:rsidRDefault="009258DF" w:rsidP="009258DF">
      <w:r>
        <w:t xml:space="preserve">Un exemple de cas complexe à traiter est la NSF </w:t>
      </w:r>
      <w:r w:rsidRPr="00844EFE">
        <w:t xml:space="preserve">américaine, puisqu’elle est présentée dans </w:t>
      </w:r>
      <w:r>
        <w:t>« </w:t>
      </w:r>
      <w:r w:rsidRPr="00844EFE">
        <w:rPr>
          <w:i/>
        </w:rPr>
        <w:t>Web of Science</w:t>
      </w:r>
      <w:r>
        <w:t> »</w:t>
      </w:r>
      <w:r w:rsidRPr="00844EFE">
        <w:t xml:space="preserve"> par ses dénominations complètes ("nationalsciencefoundation", "usnationalsciencefoundation",  "u.s.nationalsciencefoundation"), par ses sigles ("usnsf", "nsf") ou par ses composantes ("directorateforgeosciences;divatmospheric&amp;geospacesciences", "divatmospheric&amp;geospacesciences;directorateforgeosciences" ou "officeofpolarprograms;directorateforgeosciences" ; les termes entre guillemets correspondent  aux sorties brutes après harmonisation de la casse). </w:t>
      </w:r>
    </w:p>
    <w:p w14:paraId="018FC698" w14:textId="6058A127" w:rsidR="0006323E" w:rsidRDefault="0006323E" w:rsidP="009258DF">
      <w:r>
        <w:t>La Cour a donc proposé un regroupement des bailleurs sur la base</w:t>
      </w:r>
      <w:r w:rsidR="005A1B36">
        <w:t xml:space="preserve"> du dictionnaire décrit dans le tableau ci-dessous. </w:t>
      </w:r>
    </w:p>
    <w:p w14:paraId="18800082" w14:textId="4EB6F42E" w:rsidR="005A1B36" w:rsidRDefault="005A1B36" w:rsidP="00F61836">
      <w:pPr>
        <w:pStyle w:val="Titretableau"/>
      </w:pPr>
      <w:r>
        <w:t> Synonymes identifiés pour les bailleurs de la recherche</w:t>
      </w:r>
    </w:p>
    <w:tbl>
      <w:tblPr>
        <w:tblStyle w:val="Grilledutableau"/>
        <w:tblW w:w="0" w:type="auto"/>
        <w:tblInd w:w="116" w:type="dxa"/>
        <w:tblLayout w:type="fixed"/>
        <w:tblLook w:val="04A0" w:firstRow="1" w:lastRow="0" w:firstColumn="1" w:lastColumn="0" w:noHBand="0" w:noVBand="1"/>
      </w:tblPr>
      <w:tblGrid>
        <w:gridCol w:w="1719"/>
        <w:gridCol w:w="1985"/>
        <w:gridCol w:w="5234"/>
      </w:tblGrid>
      <w:tr w:rsidR="00F86547" w:rsidRPr="00F86547" w14:paraId="4BEB6359" w14:textId="77777777" w:rsidTr="00F618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7685A5E3" w14:textId="26C4C1EC"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Bailleur avec code pays</w:t>
            </w:r>
          </w:p>
        </w:tc>
        <w:tc>
          <w:tcPr>
            <w:tcW w:w="1985" w:type="dxa"/>
          </w:tcPr>
          <w:p w14:paraId="49728C73" w14:textId="30DC7866" w:rsidR="00D94857" w:rsidRPr="00F61836" w:rsidRDefault="00D94857" w:rsidP="00E9333B">
            <w:pPr>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Nom du bailleur (pays)</w:t>
            </w:r>
          </w:p>
        </w:tc>
        <w:tc>
          <w:tcPr>
            <w:tcW w:w="5234" w:type="dxa"/>
            <w:vAlign w:val="top"/>
          </w:tcPr>
          <w:p w14:paraId="0039FEAA" w14:textId="6EA4F5B1" w:rsidR="00D94857" w:rsidRPr="00F61836" w:rsidRDefault="00D94857" w:rsidP="00E9333B">
            <w:pPr>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Synonymes identifiés (format "R", avec expressions régulières sur les bordures appliquées à certains acronymes)</w:t>
            </w:r>
          </w:p>
        </w:tc>
      </w:tr>
      <w:tr w:rsidR="00F86547" w:rsidRPr="00FA185C" w14:paraId="5536D7F4"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204F31E4" w14:textId="52C9DF9A"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US_NSF</w:t>
            </w:r>
          </w:p>
        </w:tc>
        <w:tc>
          <w:tcPr>
            <w:tcW w:w="1985" w:type="dxa"/>
          </w:tcPr>
          <w:p w14:paraId="1B345AD1" w14:textId="574851FF" w:rsidR="00D94857" w:rsidRPr="00F61836" w:rsidRDefault="0011305C"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National Science Foundation (Etats-Uni) </w:t>
            </w:r>
          </w:p>
        </w:tc>
        <w:tc>
          <w:tcPr>
            <w:tcW w:w="5234" w:type="dxa"/>
            <w:vAlign w:val="top"/>
          </w:tcPr>
          <w:p w14:paraId="1939B08D" w14:textId="4A82E913"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c("usnsf", "nationalsciencefoundation", "\\bnsf\\b", "usnationalsciencefoundation",  "u.s.nationalsciencefoundation", "\\bnationalsciencefoundation(nsf)", "u.s.nationalsciencefoundation",  "directorateforgeosciences;divatmospheric&amp;geospacesciences", "divatmospheric&amp;geospacesciences;directorateforgeosciences","officeofpolarprograms;directorateforgeosciences")</w:t>
            </w:r>
          </w:p>
        </w:tc>
      </w:tr>
      <w:tr w:rsidR="00F86547" w:rsidRPr="00FA185C" w14:paraId="1D106F36"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34079777" w14:textId="3B631455"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UE</w:t>
            </w:r>
          </w:p>
        </w:tc>
        <w:tc>
          <w:tcPr>
            <w:tcW w:w="1985" w:type="dxa"/>
          </w:tcPr>
          <w:p w14:paraId="2CBDAC92" w14:textId="5434CF58" w:rsidR="00D94857" w:rsidRPr="00F61836" w:rsidRDefault="0011305C"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rPr>
              <w:t>Union européenne</w:t>
            </w:r>
          </w:p>
        </w:tc>
        <w:tc>
          <w:tcPr>
            <w:tcW w:w="5234" w:type="dxa"/>
            <w:vAlign w:val="top"/>
          </w:tcPr>
          <w:p w14:paraId="224A7252" w14:textId="428CC065"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c("europeanunion", "europeancommission", "\\beu\\b", "europeanresearchcouncil", "horizon2020", "h2020", "\\berc\\b", "europeanresearchcouncil", "europeancommunity", "fp7")</w:t>
            </w:r>
          </w:p>
        </w:tc>
      </w:tr>
      <w:tr w:rsidR="00F86547" w:rsidRPr="00FA185C" w14:paraId="62D1956B"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1A871FAB" w14:textId="73186D12"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UK_NERC</w:t>
            </w:r>
          </w:p>
        </w:tc>
        <w:tc>
          <w:tcPr>
            <w:tcW w:w="1985" w:type="dxa"/>
          </w:tcPr>
          <w:p w14:paraId="1BDFE0F2" w14:textId="16BC1C55"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rPr>
              <w:t>Natural Environment Research Council (Royaume-Uni) </w:t>
            </w:r>
          </w:p>
        </w:tc>
        <w:tc>
          <w:tcPr>
            <w:tcW w:w="5234" w:type="dxa"/>
            <w:vAlign w:val="top"/>
          </w:tcPr>
          <w:p w14:paraId="4CD6ADAD" w14:textId="03923AA1"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c("naturalenvironmentresearchcouncil", "\\bnerc\\b", "uknaturalenvironmentresearchcouncil", "uknerc", "naturalenvironmentalresearchcouncil")</w:t>
            </w:r>
          </w:p>
        </w:tc>
      </w:tr>
      <w:tr w:rsidR="00F86547" w:rsidRPr="00FA185C" w14:paraId="233FEE43"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1D5E2654" w14:textId="7EC72024"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lastRenderedPageBreak/>
              <w:t>CN_NSFC</w:t>
            </w:r>
          </w:p>
        </w:tc>
        <w:tc>
          <w:tcPr>
            <w:tcW w:w="1985" w:type="dxa"/>
          </w:tcPr>
          <w:p w14:paraId="0F42C023" w14:textId="2765932B" w:rsidR="00D94857" w:rsidRPr="00F61836" w:rsidRDefault="005E5411"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Natural Science Foundation of China (NSFC)</w:t>
            </w:r>
          </w:p>
        </w:tc>
        <w:tc>
          <w:tcPr>
            <w:tcW w:w="5234" w:type="dxa"/>
            <w:vAlign w:val="top"/>
          </w:tcPr>
          <w:p w14:paraId="3FF1330A" w14:textId="76C56F10"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c("nationalnaturalsciencefoundationofchina", "naturalsciencefoundationofchina", "naturalsciencefoundation", "nsfc")</w:t>
            </w:r>
          </w:p>
        </w:tc>
      </w:tr>
      <w:tr w:rsidR="00F86547" w:rsidRPr="00FA185C" w14:paraId="7C5FCB45"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66A43BD5" w14:textId="1A6E7974"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US_DOE</w:t>
            </w:r>
          </w:p>
        </w:tc>
        <w:tc>
          <w:tcPr>
            <w:tcW w:w="1985" w:type="dxa"/>
          </w:tcPr>
          <w:p w14:paraId="1DF2D05F" w14:textId="25FB73BF" w:rsidR="00D94857" w:rsidRPr="00F61836" w:rsidRDefault="001B1226"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Department Of Energy (Etats-Unis)</w:t>
            </w:r>
          </w:p>
        </w:tc>
        <w:tc>
          <w:tcPr>
            <w:tcW w:w="5234" w:type="dxa"/>
            <w:vAlign w:val="top"/>
          </w:tcPr>
          <w:p w14:paraId="45983CC2" w14:textId="0ED1B3FE"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c("usdepartmentofenergy", "u.s.departmentofenergy", "\\bdoe\\b",  "officeofscience")</w:t>
            </w:r>
          </w:p>
        </w:tc>
      </w:tr>
      <w:tr w:rsidR="00F86547" w:rsidRPr="00F86547" w14:paraId="053C405C"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02060C62" w14:textId="0402B869"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US_NOAA</w:t>
            </w:r>
          </w:p>
        </w:tc>
        <w:tc>
          <w:tcPr>
            <w:tcW w:w="1985" w:type="dxa"/>
          </w:tcPr>
          <w:p w14:paraId="6D06836C" w14:textId="17AE43DD" w:rsidR="00D94857" w:rsidRPr="00F61836" w:rsidRDefault="00B842B5"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National Oceanic and Atmospheric Administration (Etats-Unis)</w:t>
            </w:r>
          </w:p>
        </w:tc>
        <w:tc>
          <w:tcPr>
            <w:tcW w:w="5234" w:type="dxa"/>
            <w:vAlign w:val="top"/>
          </w:tcPr>
          <w:p w14:paraId="3D15B7E2" w14:textId="07308FBA"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c("noaa", "nationaloceanicandatmosphericadministration")</w:t>
            </w:r>
          </w:p>
        </w:tc>
      </w:tr>
      <w:tr w:rsidR="00F86547" w:rsidRPr="00F86547" w14:paraId="4D96931C"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737DB913" w14:textId="1BB9DE46"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US_NASA</w:t>
            </w:r>
          </w:p>
        </w:tc>
        <w:tc>
          <w:tcPr>
            <w:tcW w:w="1985" w:type="dxa"/>
          </w:tcPr>
          <w:p w14:paraId="6C3E2E32" w14:textId="49B8E7CB"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 xml:space="preserve">NASA </w:t>
            </w:r>
            <w:r w:rsidRPr="00F61836">
              <w:rPr>
                <w:rFonts w:asciiTheme="majorHAnsi" w:hAnsiTheme="majorHAnsi" w:cstheme="majorHAnsi"/>
                <w:sz w:val="20"/>
                <w:szCs w:val="20"/>
                <w:lang w:val="en-US"/>
              </w:rPr>
              <w:t>(Etats-Unis)</w:t>
            </w:r>
          </w:p>
        </w:tc>
        <w:tc>
          <w:tcPr>
            <w:tcW w:w="5234" w:type="dxa"/>
            <w:vAlign w:val="top"/>
          </w:tcPr>
          <w:p w14:paraId="3931FBD3" w14:textId="2DECB08F"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c("usnasa", "\\bnasa\\b", "nationalaeronauticsandspaceadministration")</w:t>
            </w:r>
          </w:p>
        </w:tc>
      </w:tr>
      <w:tr w:rsidR="00F86547" w:rsidRPr="00F86547" w14:paraId="00BDB9EA"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249681A0" w14:textId="065A33E2"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AU_ARC</w:t>
            </w:r>
          </w:p>
        </w:tc>
        <w:tc>
          <w:tcPr>
            <w:tcW w:w="1985" w:type="dxa"/>
          </w:tcPr>
          <w:p w14:paraId="305F8A9F" w14:textId="46FECCA9"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Australian Research Council (Asutralie)</w:t>
            </w:r>
          </w:p>
        </w:tc>
        <w:tc>
          <w:tcPr>
            <w:tcW w:w="5234" w:type="dxa"/>
            <w:vAlign w:val="top"/>
          </w:tcPr>
          <w:p w14:paraId="3CF7928B" w14:textId="287F229C"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c("australianresearchcouncil", "\\barc\\b")</w:t>
            </w:r>
          </w:p>
        </w:tc>
      </w:tr>
      <w:tr w:rsidR="00F86547" w:rsidRPr="00F86547" w14:paraId="4E09A50A"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0991EA34" w14:textId="080C606C"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UK_EPSRC</w:t>
            </w:r>
          </w:p>
        </w:tc>
        <w:tc>
          <w:tcPr>
            <w:tcW w:w="1985" w:type="dxa"/>
          </w:tcPr>
          <w:p w14:paraId="61F34529" w14:textId="6DE2B5CA"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Engineering and Physical Sciences ResearchCouncil (Royaume-Uni)</w:t>
            </w:r>
          </w:p>
        </w:tc>
        <w:tc>
          <w:tcPr>
            <w:tcW w:w="5234" w:type="dxa"/>
            <w:vAlign w:val="top"/>
          </w:tcPr>
          <w:p w14:paraId="3DD2761A" w14:textId="5C55C855"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c("epsrc", "engineeringandphysicalsciencesresearchcouncil")</w:t>
            </w:r>
          </w:p>
        </w:tc>
      </w:tr>
      <w:tr w:rsidR="00F86547" w:rsidRPr="00F86547" w14:paraId="3AE6F7F5"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630D4DD7" w14:textId="52061A95"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DE_DFG</w:t>
            </w:r>
          </w:p>
        </w:tc>
        <w:tc>
          <w:tcPr>
            <w:tcW w:w="1985" w:type="dxa"/>
          </w:tcPr>
          <w:p w14:paraId="420E35F1" w14:textId="2FB6F03D"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Forschungs Gemeinschaft (Allemagne)</w:t>
            </w:r>
          </w:p>
        </w:tc>
        <w:tc>
          <w:tcPr>
            <w:tcW w:w="5234" w:type="dxa"/>
            <w:vAlign w:val="top"/>
          </w:tcPr>
          <w:p w14:paraId="10702FD0" w14:textId="4CB11F65"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c("dfg", "germanresearchfoundation", "forschungsgemeinschaft")</w:t>
            </w:r>
          </w:p>
        </w:tc>
      </w:tr>
      <w:tr w:rsidR="00F86547" w:rsidRPr="00FA185C" w14:paraId="649285D0"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49C35116" w14:textId="7F52EB5D"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DE_BMBF</w:t>
            </w:r>
          </w:p>
        </w:tc>
        <w:tc>
          <w:tcPr>
            <w:tcW w:w="1985" w:type="dxa"/>
          </w:tcPr>
          <w:p w14:paraId="232EE4A7" w14:textId="4F448558"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Bundes Ministerium Fur Bildung und Forschung (Allemagne)</w:t>
            </w:r>
          </w:p>
        </w:tc>
        <w:tc>
          <w:tcPr>
            <w:tcW w:w="5234" w:type="dxa"/>
            <w:vAlign w:val="top"/>
          </w:tcPr>
          <w:p w14:paraId="650AA616" w14:textId="363826A2"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c("germanfederalministryofeducationandresearch(bmbf)", "germanfederalministryofeducationandresearch",  "bmbf", "bundesministeriumfurbildungundforschung")</w:t>
            </w:r>
          </w:p>
        </w:tc>
      </w:tr>
      <w:tr w:rsidR="00F86547" w:rsidRPr="00FA185C" w14:paraId="43A2176D"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64246503" w14:textId="775719EE"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JP_JSPS</w:t>
            </w:r>
          </w:p>
        </w:tc>
        <w:tc>
          <w:tcPr>
            <w:tcW w:w="1985" w:type="dxa"/>
          </w:tcPr>
          <w:p w14:paraId="6E1A357F" w14:textId="75D1056A" w:rsidR="00D94857" w:rsidRPr="00F61836" w:rsidRDefault="001B1226"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Japan Society for the Promotion of Science (Japon)</w:t>
            </w:r>
          </w:p>
        </w:tc>
        <w:tc>
          <w:tcPr>
            <w:tcW w:w="5234" w:type="dxa"/>
            <w:vAlign w:val="top"/>
          </w:tcPr>
          <w:p w14:paraId="634405DF" w14:textId="59069F4D"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c("jspskakenhi", "grants-in-aidforscientificresearch", "\\bjsps\\b")</w:t>
            </w:r>
          </w:p>
        </w:tc>
      </w:tr>
      <w:tr w:rsidR="00F86547" w:rsidRPr="00F86547" w14:paraId="495A8D1E"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3C697B27" w14:textId="5D29CB9B"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UK_ESRC</w:t>
            </w:r>
          </w:p>
        </w:tc>
        <w:tc>
          <w:tcPr>
            <w:tcW w:w="1985" w:type="dxa"/>
          </w:tcPr>
          <w:p w14:paraId="0A1DA8E9" w14:textId="7471D316"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Economic and Social Research Council (Royaume-Uni)</w:t>
            </w:r>
          </w:p>
        </w:tc>
        <w:tc>
          <w:tcPr>
            <w:tcW w:w="5234" w:type="dxa"/>
            <w:vAlign w:val="top"/>
          </w:tcPr>
          <w:p w14:paraId="35A656BE" w14:textId="7E8331E2"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c("esrc", "economicandsocialresearchcouncil")</w:t>
            </w:r>
          </w:p>
        </w:tc>
      </w:tr>
      <w:tr w:rsidR="00F86547" w:rsidRPr="00F86547" w14:paraId="235E0DC8"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31E4866D" w14:textId="4725D25E"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CA_NSERC</w:t>
            </w:r>
          </w:p>
        </w:tc>
        <w:tc>
          <w:tcPr>
            <w:tcW w:w="1985" w:type="dxa"/>
          </w:tcPr>
          <w:p w14:paraId="3B00467C" w14:textId="37A96692"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Natural Sciences and Engineering Research Council of Canada (Canada)</w:t>
            </w:r>
          </w:p>
        </w:tc>
        <w:tc>
          <w:tcPr>
            <w:tcW w:w="5234" w:type="dxa"/>
            <w:vAlign w:val="top"/>
          </w:tcPr>
          <w:p w14:paraId="2705C4DD" w14:textId="2EE5A539"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c("naturalsciencesandengineeringresearchcouncilofcanada", "nserc")</w:t>
            </w:r>
          </w:p>
        </w:tc>
      </w:tr>
      <w:tr w:rsidR="00F86547" w:rsidRPr="00FA185C" w14:paraId="4022361B"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6A436DAC" w14:textId="678DEEF9"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CH_NSF</w:t>
            </w:r>
          </w:p>
        </w:tc>
        <w:tc>
          <w:tcPr>
            <w:tcW w:w="1985" w:type="dxa"/>
          </w:tcPr>
          <w:p w14:paraId="626AEFC5" w14:textId="74E757E8" w:rsidR="00D94857" w:rsidRPr="00F61836" w:rsidRDefault="00591369"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rPr>
              <w:t>National Science Foundation (Suisse)</w:t>
            </w:r>
          </w:p>
        </w:tc>
        <w:tc>
          <w:tcPr>
            <w:tcW w:w="5234" w:type="dxa"/>
            <w:vAlign w:val="top"/>
          </w:tcPr>
          <w:p w14:paraId="37D34C48" w14:textId="149CE787"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c("swissnationalsciencefoundation", "swissnsf", "\\bsnsf\\b")</w:t>
            </w:r>
          </w:p>
        </w:tc>
      </w:tr>
      <w:tr w:rsidR="00F86547" w:rsidRPr="00F86547" w14:paraId="58AB58E4"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7B827C60" w14:textId="190965E5"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CN_NKP</w:t>
            </w:r>
          </w:p>
        </w:tc>
        <w:tc>
          <w:tcPr>
            <w:tcW w:w="1985" w:type="dxa"/>
          </w:tcPr>
          <w:p w14:paraId="513C60D3" w14:textId="06C22F76"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National Key R&amp;D Programofchina (Chine)</w:t>
            </w:r>
          </w:p>
        </w:tc>
        <w:tc>
          <w:tcPr>
            <w:tcW w:w="5234" w:type="dxa"/>
            <w:vAlign w:val="top"/>
          </w:tcPr>
          <w:p w14:paraId="57EA7585" w14:textId="3B7D4E94"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c("nationalkeyresearchanddevelopmentprogramofchina", "nationalkeyr&amp;dprogramofchina")</w:t>
            </w:r>
          </w:p>
        </w:tc>
      </w:tr>
      <w:tr w:rsidR="00F86547" w:rsidRPr="00F86547" w14:paraId="433EB3F6"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407DFA0C" w14:textId="69F20536"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lastRenderedPageBreak/>
              <w:t>CN_CAS</w:t>
            </w:r>
          </w:p>
        </w:tc>
        <w:tc>
          <w:tcPr>
            <w:tcW w:w="1985" w:type="dxa"/>
          </w:tcPr>
          <w:p w14:paraId="12CE43E0" w14:textId="795D03E9"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Chinese Academy (Chine)</w:t>
            </w:r>
          </w:p>
        </w:tc>
        <w:tc>
          <w:tcPr>
            <w:tcW w:w="5234" w:type="dxa"/>
            <w:vAlign w:val="top"/>
          </w:tcPr>
          <w:p w14:paraId="3BEE6252" w14:textId="145B6F6C"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c("chineseacademy", "\\bcas\\b")</w:t>
            </w:r>
          </w:p>
        </w:tc>
      </w:tr>
      <w:tr w:rsidR="00F86547" w:rsidRPr="00F86547" w14:paraId="58CB4D96"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578ACBD8" w14:textId="294A453B"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FR_ANR</w:t>
            </w:r>
          </w:p>
        </w:tc>
        <w:tc>
          <w:tcPr>
            <w:tcW w:w="1985" w:type="dxa"/>
          </w:tcPr>
          <w:p w14:paraId="622A441B" w14:textId="3A16E707"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ANR (France)</w:t>
            </w:r>
          </w:p>
        </w:tc>
        <w:tc>
          <w:tcPr>
            <w:tcW w:w="5234" w:type="dxa"/>
            <w:vAlign w:val="top"/>
          </w:tcPr>
          <w:p w14:paraId="02BAF164" w14:textId="0E0EA05A"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c("\\banr\\b", "agencenationaledelarecherche", "frenchnationalresearchagency", "agencenationalepourlarecherche")</w:t>
            </w:r>
          </w:p>
        </w:tc>
      </w:tr>
      <w:tr w:rsidR="00F86547" w:rsidRPr="00FA185C" w14:paraId="05A90158"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0A6C5F8B" w14:textId="6577297D"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NO_RCN</w:t>
            </w:r>
          </w:p>
        </w:tc>
        <w:tc>
          <w:tcPr>
            <w:tcW w:w="1985" w:type="dxa"/>
          </w:tcPr>
          <w:p w14:paraId="78C96305" w14:textId="456C3BBC"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Research Council of Norway (Norvège)</w:t>
            </w:r>
          </w:p>
        </w:tc>
        <w:tc>
          <w:tcPr>
            <w:tcW w:w="5234" w:type="dxa"/>
            <w:vAlign w:val="top"/>
          </w:tcPr>
          <w:p w14:paraId="7A9A1F20" w14:textId="0A83AE7B"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c("researchcouncilofnorway", "\\brcn\\b", "norgesforskningsrad")</w:t>
            </w:r>
          </w:p>
        </w:tc>
      </w:tr>
      <w:tr w:rsidR="00F86547" w:rsidRPr="00F86547" w14:paraId="4B6A2B22"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3FA5440B" w14:textId="624AC65B"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CGIAR</w:t>
            </w:r>
          </w:p>
        </w:tc>
        <w:tc>
          <w:tcPr>
            <w:tcW w:w="1985" w:type="dxa"/>
          </w:tcPr>
          <w:p w14:paraId="5B7A0449" w14:textId="26C6EAED"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CGIAR (organsation internationale)</w:t>
            </w:r>
          </w:p>
        </w:tc>
        <w:tc>
          <w:tcPr>
            <w:tcW w:w="5234" w:type="dxa"/>
            <w:vAlign w:val="top"/>
          </w:tcPr>
          <w:p w14:paraId="423020E1" w14:textId="60E8BBD0"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c("cgiar", "consultativegrouponinternationalagricultural")</w:t>
            </w:r>
          </w:p>
        </w:tc>
      </w:tr>
      <w:tr w:rsidR="00F86547" w:rsidRPr="00FA185C" w14:paraId="7754E20D"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4305978F" w14:textId="02526F18"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UK_OTHERS</w:t>
            </w:r>
          </w:p>
        </w:tc>
        <w:tc>
          <w:tcPr>
            <w:tcW w:w="1985" w:type="dxa"/>
          </w:tcPr>
          <w:p w14:paraId="602E2D90" w14:textId="2C4D5E95"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Autres agences (Royaume-Uni)</w:t>
            </w:r>
          </w:p>
        </w:tc>
        <w:tc>
          <w:tcPr>
            <w:tcW w:w="5234" w:type="dxa"/>
            <w:vAlign w:val="top"/>
          </w:tcPr>
          <w:p w14:paraId="48942B7B" w14:textId="730349AC"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c("\\buk\\b", "ahrc", "bbsrc")</w:t>
            </w:r>
          </w:p>
        </w:tc>
      </w:tr>
      <w:tr w:rsidR="00F86547" w:rsidRPr="00F86547" w14:paraId="2A68724A"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0E70FACC" w14:textId="5B2AB061"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CN_NBP</w:t>
            </w:r>
          </w:p>
        </w:tc>
        <w:tc>
          <w:tcPr>
            <w:tcW w:w="1985" w:type="dxa"/>
          </w:tcPr>
          <w:p w14:paraId="45CF81E3" w14:textId="3761DC44"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F61836">
              <w:rPr>
                <w:rFonts w:asciiTheme="majorHAnsi" w:hAnsiTheme="majorHAnsi" w:cstheme="majorHAnsi"/>
                <w:sz w:val="20"/>
                <w:szCs w:val="20"/>
                <w:lang w:val="en-US"/>
              </w:rPr>
              <w:t>National Basic Research Program of China (Chine)</w:t>
            </w:r>
          </w:p>
        </w:tc>
        <w:tc>
          <w:tcPr>
            <w:tcW w:w="5234" w:type="dxa"/>
            <w:vAlign w:val="top"/>
          </w:tcPr>
          <w:p w14:paraId="1F521125" w14:textId="6696E4AC"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lang w:val="en-US"/>
              </w:rPr>
              <w:t xml:space="preserve"> </w:t>
            </w:r>
            <w:r w:rsidRPr="00F61836">
              <w:rPr>
                <w:rFonts w:asciiTheme="majorHAnsi" w:hAnsiTheme="majorHAnsi" w:cstheme="majorHAnsi"/>
                <w:sz w:val="20"/>
                <w:szCs w:val="20"/>
              </w:rPr>
              <w:t>c("nationalbasicresearchprogramofchina")</w:t>
            </w:r>
          </w:p>
        </w:tc>
      </w:tr>
      <w:tr w:rsidR="00F86547" w:rsidRPr="00F86547" w14:paraId="4D8E906D"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03F53D0E" w14:textId="704DD3B9"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FR_CNRS</w:t>
            </w:r>
          </w:p>
        </w:tc>
        <w:tc>
          <w:tcPr>
            <w:tcW w:w="1985" w:type="dxa"/>
          </w:tcPr>
          <w:p w14:paraId="2F4E0741" w14:textId="75D612F5"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CNRS (France)</w:t>
            </w:r>
          </w:p>
        </w:tc>
        <w:tc>
          <w:tcPr>
            <w:tcW w:w="5234" w:type="dxa"/>
            <w:vAlign w:val="top"/>
          </w:tcPr>
          <w:p w14:paraId="7233F017" w14:textId="44B6AE6B"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c("\\bcnrs\\b", "cnrs-insu", "centrenationaldelarecherchescientifique", "\\binsu\\b")</w:t>
            </w:r>
          </w:p>
        </w:tc>
      </w:tr>
      <w:tr w:rsidR="00F86547" w:rsidRPr="00F86547" w14:paraId="48F5B937"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714778FD" w14:textId="12BB33D8"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JP_MEXT</w:t>
            </w:r>
          </w:p>
        </w:tc>
        <w:tc>
          <w:tcPr>
            <w:tcW w:w="1985" w:type="dxa"/>
          </w:tcPr>
          <w:p w14:paraId="4217F13F" w14:textId="5BBCEF09"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MEXT (Japon)</w:t>
            </w:r>
          </w:p>
        </w:tc>
        <w:tc>
          <w:tcPr>
            <w:tcW w:w="5234" w:type="dxa"/>
            <w:vAlign w:val="top"/>
          </w:tcPr>
          <w:p w14:paraId="5DF9887B" w14:textId="5F790DEC"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c("japaneseministryofeducation,culture,sports,scienceandtechnology", "japaneseministryofeducation,culture,sports,science,andtechnology", "japaneseministryofeducation",  "ministryofeducation,culture,sports,scienceandtechnologyofthejapanesegovernment", "mext")</w:t>
            </w:r>
          </w:p>
        </w:tc>
      </w:tr>
      <w:tr w:rsidR="00F86547" w:rsidRPr="00F86547" w14:paraId="79E8B5BC"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15CF475A" w14:textId="225F0616"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FR_CNES</w:t>
            </w:r>
          </w:p>
        </w:tc>
        <w:tc>
          <w:tcPr>
            <w:tcW w:w="1985" w:type="dxa"/>
          </w:tcPr>
          <w:p w14:paraId="2463B04F" w14:textId="15A355F0"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CNES (France)</w:t>
            </w:r>
          </w:p>
        </w:tc>
        <w:tc>
          <w:tcPr>
            <w:tcW w:w="5234" w:type="dxa"/>
            <w:vAlign w:val="top"/>
          </w:tcPr>
          <w:p w14:paraId="4BF10F67" w14:textId="2B8EE7E9"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c("centrenationaldetudesspatiales", "cnes-tosca", "frenchspaceagencycnes", "\\bcnes\\b")</w:t>
            </w:r>
          </w:p>
        </w:tc>
      </w:tr>
      <w:tr w:rsidR="00F86547" w:rsidRPr="00F86547" w14:paraId="2E461732"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6F90ECE6" w14:textId="722D7416"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FR_IRD</w:t>
            </w:r>
          </w:p>
        </w:tc>
        <w:tc>
          <w:tcPr>
            <w:tcW w:w="1985" w:type="dxa"/>
          </w:tcPr>
          <w:p w14:paraId="17326E09" w14:textId="28846AEA"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IRD (France)</w:t>
            </w:r>
          </w:p>
        </w:tc>
        <w:tc>
          <w:tcPr>
            <w:tcW w:w="5234" w:type="dxa"/>
            <w:vAlign w:val="top"/>
          </w:tcPr>
          <w:p w14:paraId="25DD1A49" w14:textId="1F6F984C"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c("\\bird\\b", "institutderecherchepourledeveloppement")</w:t>
            </w:r>
          </w:p>
        </w:tc>
      </w:tr>
      <w:tr w:rsidR="00F86547" w:rsidRPr="00F86547" w14:paraId="48ACE4D3"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51F4A73D" w14:textId="17A26DB2"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FR_ADEME</w:t>
            </w:r>
          </w:p>
        </w:tc>
        <w:tc>
          <w:tcPr>
            <w:tcW w:w="1985" w:type="dxa"/>
          </w:tcPr>
          <w:p w14:paraId="07BAB7FF" w14:textId="1A3AA64E"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ADEME (France)</w:t>
            </w:r>
          </w:p>
        </w:tc>
        <w:tc>
          <w:tcPr>
            <w:tcW w:w="5234" w:type="dxa"/>
            <w:vAlign w:val="top"/>
          </w:tcPr>
          <w:p w14:paraId="31C0B357" w14:textId="04B3FB42"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c("agencedelenvironnementetdelamaitrisedelenergie", "\\bademe\\b")</w:t>
            </w:r>
          </w:p>
        </w:tc>
      </w:tr>
      <w:tr w:rsidR="00F86547" w:rsidRPr="00F86547" w14:paraId="7551609E" w14:textId="77777777" w:rsidTr="00F61836">
        <w:tc>
          <w:tcPr>
            <w:cnfStyle w:val="001000000000" w:firstRow="0" w:lastRow="0" w:firstColumn="1" w:lastColumn="0" w:oddVBand="0" w:evenVBand="0" w:oddHBand="0" w:evenHBand="0" w:firstRowFirstColumn="0" w:firstRowLastColumn="0" w:lastRowFirstColumn="0" w:lastRowLastColumn="0"/>
            <w:tcW w:w="1719" w:type="dxa"/>
            <w:vAlign w:val="top"/>
          </w:tcPr>
          <w:p w14:paraId="2BD352C9" w14:textId="1DC2FEB1"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FR_METEOFRANCE</w:t>
            </w:r>
          </w:p>
        </w:tc>
        <w:tc>
          <w:tcPr>
            <w:tcW w:w="1985" w:type="dxa"/>
          </w:tcPr>
          <w:p w14:paraId="7D742D0D" w14:textId="5F1853D0" w:rsidR="00D94857" w:rsidRPr="00F61836" w:rsidRDefault="00F8654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Météo France (France)</w:t>
            </w:r>
          </w:p>
        </w:tc>
        <w:tc>
          <w:tcPr>
            <w:tcW w:w="5234" w:type="dxa"/>
            <w:vAlign w:val="top"/>
          </w:tcPr>
          <w:p w14:paraId="651BC494" w14:textId="21315AC6" w:rsidR="00D94857" w:rsidRPr="00F61836" w:rsidRDefault="00D94857" w:rsidP="00E9333B">
            <w:pPr>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c("\\bmeteofrance\\b", "\\bmeteo-france\\b", "projectmeteo-france", "centrenationalderecherchesmeteorologiquesofmeteo-france")</w:t>
            </w:r>
          </w:p>
        </w:tc>
      </w:tr>
      <w:tr w:rsidR="00F86547" w:rsidRPr="00F86547" w14:paraId="3854F939" w14:textId="77777777" w:rsidTr="00F6183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19" w:type="dxa"/>
            <w:vAlign w:val="top"/>
          </w:tcPr>
          <w:p w14:paraId="0C658FB2" w14:textId="214BDDC9" w:rsidR="00D94857" w:rsidRPr="00F61836" w:rsidRDefault="00D94857" w:rsidP="00E9333B">
            <w:pPr>
              <w:ind w:firstLine="0"/>
              <w:rPr>
                <w:rFonts w:asciiTheme="majorHAnsi" w:hAnsiTheme="majorHAnsi" w:cstheme="majorHAnsi"/>
                <w:sz w:val="20"/>
                <w:szCs w:val="20"/>
              </w:rPr>
            </w:pPr>
            <w:r w:rsidRPr="00F61836">
              <w:rPr>
                <w:rFonts w:asciiTheme="majorHAnsi" w:hAnsiTheme="majorHAnsi" w:cstheme="majorHAnsi"/>
                <w:sz w:val="20"/>
                <w:szCs w:val="20"/>
              </w:rPr>
              <w:t>FR_EDF</w:t>
            </w:r>
          </w:p>
        </w:tc>
        <w:tc>
          <w:tcPr>
            <w:tcW w:w="1985" w:type="dxa"/>
          </w:tcPr>
          <w:p w14:paraId="7EE6A142" w14:textId="522CFD14" w:rsidR="00D94857" w:rsidRPr="00F61836" w:rsidRDefault="00F8654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EDF (France)</w:t>
            </w:r>
          </w:p>
        </w:tc>
        <w:tc>
          <w:tcPr>
            <w:tcW w:w="5234" w:type="dxa"/>
            <w:vAlign w:val="top"/>
          </w:tcPr>
          <w:p w14:paraId="2F4655C3" w14:textId="6CF144BB" w:rsidR="00D94857" w:rsidRPr="00F61836" w:rsidRDefault="00D94857" w:rsidP="00E9333B">
            <w:pPr>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F61836">
              <w:rPr>
                <w:rFonts w:asciiTheme="majorHAnsi" w:hAnsiTheme="majorHAnsi" w:cstheme="majorHAnsi"/>
                <w:sz w:val="20"/>
                <w:szCs w:val="20"/>
              </w:rPr>
              <w:t>c("\\bedf\\b", "electricitedefrance")</w:t>
            </w:r>
          </w:p>
        </w:tc>
      </w:tr>
    </w:tbl>
    <w:p w14:paraId="1315613D" w14:textId="53852AED" w:rsidR="009258DF" w:rsidRDefault="00E9333B" w:rsidP="00F61836">
      <w:pPr>
        <w:pStyle w:val="TexteSource"/>
      </w:pPr>
      <w:r>
        <w:t xml:space="preserve">Source : Cour des comptes. </w:t>
      </w:r>
      <w:r w:rsidR="0006323E">
        <w:t>Les</w:t>
      </w:r>
      <w:r w:rsidR="009457EE">
        <w:t xml:space="preserve"> synonymes</w:t>
      </w:r>
      <w:r w:rsidR="0006323E">
        <w:t xml:space="preserve"> ont été identifiés en s’appuyant notamment sur une étude de l’ANR analysant les occurrences les plus fréquentes des bailleurs dans les articles</w:t>
      </w:r>
      <w:r w:rsidR="009457EE">
        <w:t xml:space="preserve"> ainsi que sur une analyse comparable réalisée de façon indépendante par la Cour.</w:t>
      </w:r>
    </w:p>
    <w:p w14:paraId="428351FD" w14:textId="045332FD" w:rsidR="00197820" w:rsidRDefault="00197820" w:rsidP="00197820">
      <w:r>
        <w:t xml:space="preserve">Après retraitement, chaque bailleur (ou ses synonymes) n’a été compté </w:t>
      </w:r>
      <w:r w:rsidRPr="00844EFE">
        <w:t>qu’une seule fois par article pour faciliter les retraitements et l’interprétation.</w:t>
      </w:r>
    </w:p>
    <w:p w14:paraId="02470989" w14:textId="6C74EFCA" w:rsidR="006D1C28" w:rsidRDefault="009457EE" w:rsidP="00197820">
      <w:r w:rsidRPr="00844EFE">
        <w:t xml:space="preserve">La base d’article considérée dans </w:t>
      </w:r>
      <w:r>
        <w:t>« </w:t>
      </w:r>
      <w:r w:rsidRPr="00844EFE">
        <w:rPr>
          <w:i/>
        </w:rPr>
        <w:t>Web of Science</w:t>
      </w:r>
      <w:r>
        <w:t> »</w:t>
      </w:r>
      <w:r w:rsidRPr="00844EFE">
        <w:t xml:space="preserve"> est l’ensemble des articles avec un DOI identifié, sans DOI en doublon, avec une date de publication, et avec une analyse ciblée </w:t>
      </w:r>
      <w:r w:rsidRPr="00844EFE">
        <w:lastRenderedPageBreak/>
        <w:t>sur la période 2012 à 2021 qui regroupe l’essentiel des citations du GIEC et qui est bien postérieure à la création de l’ANR pour réduire les biais potentiels lié au périmètre temporel.</w:t>
      </w:r>
    </w:p>
    <w:p w14:paraId="3D626C1B" w14:textId="6CFD4463" w:rsidR="006D1C28" w:rsidRDefault="006D1C28" w:rsidP="00F61836">
      <w:pPr>
        <w:pStyle w:val="Titregraphique"/>
        <w:spacing w:before="400"/>
      </w:pPr>
      <w:r>
        <w:t> Répartition des vingt premiers bailleurs indiqués dans les publications citées par le GIEC (nombre de citations des bailleurs).</w:t>
      </w:r>
    </w:p>
    <w:p w14:paraId="4CEBE408" w14:textId="148599A3" w:rsidR="006D1C28" w:rsidRDefault="006D1C28" w:rsidP="00197820">
      <w:r>
        <w:rPr>
          <w:noProof/>
        </w:rPr>
        <w:drawing>
          <wp:inline distT="0" distB="0" distL="0" distR="0" wp14:anchorId="23265A8F" wp14:editId="55F6043F">
            <wp:extent cx="5759450" cy="2392045"/>
            <wp:effectExtent l="0" t="0" r="12700" b="8255"/>
            <wp:docPr id="8" name="Graphique 8">
              <a:extLst xmlns:a="http://schemas.openxmlformats.org/drawingml/2006/main">
                <a:ext uri="{FF2B5EF4-FFF2-40B4-BE49-F238E27FC236}">
                  <a16:creationId xmlns:a16="http://schemas.microsoft.com/office/drawing/2014/main" id="{39DF7B30-E92B-42A8-A525-1A030841B19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463BDDB" w14:textId="61663A1C" w:rsidR="00D94857" w:rsidRPr="001B1226" w:rsidRDefault="00D94857">
      <w:pPr>
        <w:pStyle w:val="Notedebasdepage"/>
      </w:pPr>
      <w:r w:rsidRPr="001B1226">
        <w:t>Source : analyse Cour des comptes d’après le jeu de données « Web of Science » de l’ANR.</w:t>
      </w:r>
    </w:p>
    <w:p w14:paraId="2CDE1B4F" w14:textId="77777777" w:rsidR="0071188A" w:rsidRDefault="0071188A" w:rsidP="0071188A">
      <w:pPr>
        <w:pStyle w:val="Titregraphique"/>
        <w:spacing w:before="400"/>
      </w:pPr>
      <w:r>
        <w:t> Répartition des quinze premiers bailleurs indiqués dans les publications citées par le GIEC où la France joue un rôle prépondérant (nombre de citations des bailleurs).</w:t>
      </w:r>
    </w:p>
    <w:p w14:paraId="5FCA7472" w14:textId="6F982AA9" w:rsidR="0071188A" w:rsidRDefault="00D94857" w:rsidP="0071188A">
      <w:r>
        <w:rPr>
          <w:noProof/>
        </w:rPr>
        <w:drawing>
          <wp:inline distT="0" distB="0" distL="0" distR="0" wp14:anchorId="3C203A94" wp14:editId="6AE9CBD3">
            <wp:extent cx="5759450" cy="3455670"/>
            <wp:effectExtent l="0" t="0" r="12700" b="11430"/>
            <wp:docPr id="9" name="Graphique 9">
              <a:extLst xmlns:a="http://schemas.openxmlformats.org/drawingml/2006/main">
                <a:ext uri="{FF2B5EF4-FFF2-40B4-BE49-F238E27FC236}">
                  <a16:creationId xmlns:a16="http://schemas.microsoft.com/office/drawing/2014/main" id="{A7C1AE7E-88FA-4772-A9F2-A86175173EB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CFC9428" w14:textId="77777777" w:rsidR="007F64EA" w:rsidRPr="007F64EA" w:rsidRDefault="0071188A" w:rsidP="007F64EA">
      <w:pPr>
        <w:pStyle w:val="Notedebasdepage"/>
      </w:pPr>
      <w:r>
        <w:t>Source : analyse Cour des comptes d’après le jeu de données « Web of Science » de l’ANR. Afin de cibler les publications où la France joue un rôle prépondérant, seuls sont retenus dans l’assiette de calcul les articles avec une affiliation française indiquée pour les premiers ou derniers auteurs.</w:t>
      </w:r>
      <w:r w:rsidR="007F64EA">
        <w:t xml:space="preserve"> </w:t>
      </w:r>
      <w:r w:rsidR="007F64EA" w:rsidRPr="007F64EA">
        <w:t>Pour ce qui concerne les seuls articles où la France joue un rôle prépondérant, l’UE est le premier bailleur, suivi de l’ANR et du NERC (</w:t>
      </w:r>
      <w:r w:rsidR="007F64EA" w:rsidRPr="007F64EA">
        <w:rPr>
          <w:i/>
        </w:rPr>
        <w:t xml:space="preserve">natural environment </w:t>
      </w:r>
      <w:r w:rsidR="007F64EA" w:rsidRPr="007F64EA">
        <w:rPr>
          <w:i/>
        </w:rPr>
        <w:lastRenderedPageBreak/>
        <w:t>research council</w:t>
      </w:r>
      <w:r w:rsidR="007F64EA" w:rsidRPr="007F64EA">
        <w:t>) britannique. Sous l’effet potentiel du Brexit puis de la montée en puissance des financements de l’agence dans le cadre de la loi de programmation de la recherche, le poids relatif de l’ANR augmente après 2018. Les opérateurs français de recherche publics (CNRS, CNES, IRD, Météo France) et privés (EDF, qui est par ailleurs cotutelle de plusieurs laboratoires de recherche en lien avec le secteur public</w:t>
      </w:r>
      <w:r w:rsidR="007F64EA" w:rsidRPr="007F64EA">
        <w:rPr>
          <w:vertAlign w:val="superscript"/>
        </w:rPr>
        <w:footnoteReference w:id="29"/>
      </w:r>
      <w:r w:rsidR="007F64EA" w:rsidRPr="007F64EA">
        <w:t>) sont fréquemment cités dans les publications en tant que financeurs. L’Ademe soutien également la recherche française pour l’adaptation de façon significative, avec par ailleurs des financements ciblés vers des actions de maturation de solutions pour l’adaptation</w:t>
      </w:r>
      <w:r w:rsidR="007F64EA" w:rsidRPr="007F64EA">
        <w:rPr>
          <w:vertAlign w:val="superscript"/>
        </w:rPr>
        <w:footnoteReference w:id="30"/>
      </w:r>
      <w:r w:rsidR="007F64EA" w:rsidRPr="007F64EA">
        <w:t>.</w:t>
      </w:r>
    </w:p>
    <w:p w14:paraId="0E514984" w14:textId="3C6FD620" w:rsidR="0071188A" w:rsidRDefault="0071188A" w:rsidP="00270CE7">
      <w:pPr>
        <w:pStyle w:val="Notedebasdepage"/>
      </w:pPr>
    </w:p>
    <w:p w14:paraId="0BF6BCC0" w14:textId="77777777" w:rsidR="00BD3334" w:rsidRDefault="00BD3334">
      <w:pPr>
        <w:spacing w:before="0" w:after="200" w:line="276" w:lineRule="auto"/>
        <w:ind w:firstLine="0"/>
        <w:jc w:val="left"/>
        <w:rPr>
          <w:u w:val="single"/>
          <w:lang w:eastAsia="fr-FR"/>
        </w:rPr>
      </w:pPr>
      <w:r>
        <w:rPr>
          <w:u w:val="single"/>
          <w:lang w:eastAsia="fr-FR"/>
        </w:rPr>
        <w:br w:type="page"/>
      </w:r>
    </w:p>
    <w:p w14:paraId="35EC1AE5" w14:textId="1EA07009" w:rsidR="0071188A" w:rsidRDefault="0071188A">
      <w:pPr>
        <w:rPr>
          <w:u w:val="single"/>
          <w:lang w:eastAsia="fr-FR"/>
        </w:rPr>
      </w:pPr>
      <w:r w:rsidRPr="00F61836">
        <w:rPr>
          <w:u w:val="single"/>
          <w:lang w:eastAsia="fr-FR"/>
        </w:rPr>
        <w:lastRenderedPageBreak/>
        <w:t>Financements européens</w:t>
      </w:r>
    </w:p>
    <w:p w14:paraId="200E237D" w14:textId="004D76AD" w:rsidR="001C5C95" w:rsidRDefault="001C5C95" w:rsidP="00BD3334">
      <w:pPr>
        <w:pStyle w:val="Titretableau"/>
      </w:pPr>
      <w:r>
        <w:t xml:space="preserve">Analyse des taux de sélection aux appels Horizon 2020 et Horizon Europe. </w:t>
      </w:r>
    </w:p>
    <w:tbl>
      <w:tblPr>
        <w:tblStyle w:val="TABLEAURAPPORTPUBLICANNUEL"/>
        <w:tblW w:w="8898" w:type="dxa"/>
        <w:tblInd w:w="-737" w:type="dxa"/>
        <w:tblLook w:val="04A0" w:firstRow="1" w:lastRow="0" w:firstColumn="1" w:lastColumn="0" w:noHBand="0" w:noVBand="1"/>
      </w:tblPr>
      <w:tblGrid>
        <w:gridCol w:w="1029"/>
        <w:gridCol w:w="860"/>
        <w:gridCol w:w="871"/>
        <w:gridCol w:w="892"/>
        <w:gridCol w:w="860"/>
        <w:gridCol w:w="871"/>
        <w:gridCol w:w="892"/>
        <w:gridCol w:w="860"/>
        <w:gridCol w:w="871"/>
        <w:gridCol w:w="892"/>
      </w:tblGrid>
      <w:tr w:rsidR="001C5C95" w:rsidRPr="00BD54FE" w14:paraId="27C53249" w14:textId="77777777" w:rsidTr="00494E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29" w:type="dxa"/>
            <w:vAlign w:val="top"/>
          </w:tcPr>
          <w:p w14:paraId="5974480D" w14:textId="77777777" w:rsidR="001C5C95" w:rsidRPr="00BD54FE" w:rsidRDefault="001C5C95" w:rsidP="00494E25">
            <w:pPr>
              <w:pStyle w:val="TableauSchmaOrganigrammecentr"/>
            </w:pPr>
          </w:p>
        </w:tc>
        <w:tc>
          <w:tcPr>
            <w:tcW w:w="2623" w:type="dxa"/>
            <w:gridSpan w:val="3"/>
            <w:vAlign w:val="top"/>
          </w:tcPr>
          <w:p w14:paraId="5CFD0C2A" w14:textId="77777777" w:rsidR="001C5C95" w:rsidRPr="00BD54FE" w:rsidRDefault="001C5C95"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BD54FE">
              <w:t xml:space="preserve">Nombre de projets </w:t>
            </w:r>
            <w:r>
              <w:br/>
            </w:r>
            <w:r w:rsidRPr="00BD54FE">
              <w:t>(tous domaines)</w:t>
            </w:r>
          </w:p>
        </w:tc>
        <w:tc>
          <w:tcPr>
            <w:tcW w:w="2623" w:type="dxa"/>
            <w:gridSpan w:val="3"/>
            <w:vAlign w:val="top"/>
          </w:tcPr>
          <w:p w14:paraId="72C8813E" w14:textId="77777777" w:rsidR="001C5C95" w:rsidRPr="00BD54FE" w:rsidRDefault="001C5C95"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BD54FE">
              <w:t xml:space="preserve">Nombre de projets </w:t>
            </w:r>
            <w:r>
              <w:br/>
            </w:r>
            <w:r w:rsidRPr="00BD54FE">
              <w:t>pour l'adaptation</w:t>
            </w:r>
          </w:p>
        </w:tc>
        <w:tc>
          <w:tcPr>
            <w:tcW w:w="2623" w:type="dxa"/>
            <w:gridSpan w:val="3"/>
            <w:vAlign w:val="top"/>
          </w:tcPr>
          <w:p w14:paraId="11132D80" w14:textId="77777777" w:rsidR="001C5C95" w:rsidRPr="00BD54FE" w:rsidRDefault="001C5C95"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BD54FE">
              <w:t xml:space="preserve">Nombre de projets </w:t>
            </w:r>
            <w:r>
              <w:br/>
            </w:r>
            <w:r w:rsidRPr="00BD54FE">
              <w:t>en adaptation</w:t>
            </w:r>
          </w:p>
        </w:tc>
      </w:tr>
      <w:tr w:rsidR="001C5C95" w:rsidRPr="00BD54FE" w14:paraId="0661D893" w14:textId="77777777" w:rsidTr="00494E25">
        <w:tc>
          <w:tcPr>
            <w:cnfStyle w:val="001000000000" w:firstRow="0" w:lastRow="0" w:firstColumn="1" w:lastColumn="0" w:oddVBand="0" w:evenVBand="0" w:oddHBand="0" w:evenHBand="0" w:firstRowFirstColumn="0" w:firstRowLastColumn="0" w:lastRowFirstColumn="0" w:lastRowLastColumn="0"/>
            <w:tcW w:w="1029" w:type="dxa"/>
            <w:vAlign w:val="top"/>
          </w:tcPr>
          <w:p w14:paraId="5326E97E" w14:textId="77777777" w:rsidR="001C5C95" w:rsidRPr="00BD54FE" w:rsidRDefault="001C5C95" w:rsidP="00494E25">
            <w:pPr>
              <w:pStyle w:val="TableauSchmaOrganigrammecentr"/>
            </w:pPr>
            <w:r w:rsidRPr="00BD54FE">
              <w:t>Pays</w:t>
            </w:r>
          </w:p>
        </w:tc>
        <w:tc>
          <w:tcPr>
            <w:tcW w:w="860" w:type="dxa"/>
            <w:vAlign w:val="top"/>
          </w:tcPr>
          <w:p w14:paraId="16D871D9"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Déposés</w:t>
            </w:r>
          </w:p>
        </w:tc>
        <w:tc>
          <w:tcPr>
            <w:tcW w:w="871" w:type="dxa"/>
            <w:vAlign w:val="top"/>
          </w:tcPr>
          <w:p w14:paraId="08945AF7"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Lauréats</w:t>
            </w:r>
          </w:p>
        </w:tc>
        <w:tc>
          <w:tcPr>
            <w:tcW w:w="892" w:type="dxa"/>
            <w:vAlign w:val="top"/>
          </w:tcPr>
          <w:p w14:paraId="3E7273F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Taux de sélection</w:t>
            </w:r>
          </w:p>
        </w:tc>
        <w:tc>
          <w:tcPr>
            <w:tcW w:w="860" w:type="dxa"/>
            <w:vAlign w:val="top"/>
          </w:tcPr>
          <w:p w14:paraId="47D8D54D"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Déposés</w:t>
            </w:r>
          </w:p>
        </w:tc>
        <w:tc>
          <w:tcPr>
            <w:tcW w:w="871" w:type="dxa"/>
            <w:vAlign w:val="top"/>
          </w:tcPr>
          <w:p w14:paraId="647BD8BE"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Lauréats</w:t>
            </w:r>
          </w:p>
        </w:tc>
        <w:tc>
          <w:tcPr>
            <w:tcW w:w="892" w:type="dxa"/>
            <w:vAlign w:val="top"/>
          </w:tcPr>
          <w:p w14:paraId="7E36CED5"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Taux de sélection</w:t>
            </w:r>
          </w:p>
        </w:tc>
        <w:tc>
          <w:tcPr>
            <w:tcW w:w="860" w:type="dxa"/>
            <w:vAlign w:val="top"/>
          </w:tcPr>
          <w:p w14:paraId="17A9AB1B"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Déposés</w:t>
            </w:r>
          </w:p>
        </w:tc>
        <w:tc>
          <w:tcPr>
            <w:tcW w:w="871" w:type="dxa"/>
            <w:vAlign w:val="top"/>
          </w:tcPr>
          <w:p w14:paraId="6315E9AC"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Lauréats</w:t>
            </w:r>
          </w:p>
        </w:tc>
        <w:tc>
          <w:tcPr>
            <w:tcW w:w="892" w:type="dxa"/>
            <w:vAlign w:val="top"/>
          </w:tcPr>
          <w:p w14:paraId="5AB25488"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Taux de sélection</w:t>
            </w:r>
          </w:p>
        </w:tc>
      </w:tr>
      <w:tr w:rsidR="001C5C95" w:rsidRPr="00BD54FE" w14:paraId="5990D75C" w14:textId="77777777" w:rsidTr="00494E25">
        <w:tc>
          <w:tcPr>
            <w:cnfStyle w:val="001000000000" w:firstRow="0" w:lastRow="0" w:firstColumn="1" w:lastColumn="0" w:oddVBand="0" w:evenVBand="0" w:oddHBand="0" w:evenHBand="0" w:firstRowFirstColumn="0" w:firstRowLastColumn="0" w:lastRowFirstColumn="0" w:lastRowLastColumn="0"/>
            <w:tcW w:w="1029" w:type="dxa"/>
            <w:vAlign w:val="top"/>
          </w:tcPr>
          <w:p w14:paraId="72BE39D8" w14:textId="77777777" w:rsidR="001C5C95" w:rsidRPr="00BD54FE" w:rsidRDefault="001C5C95" w:rsidP="00494E25">
            <w:pPr>
              <w:pStyle w:val="TableauSchmaOrganigrammecentr"/>
            </w:pPr>
            <w:r w:rsidRPr="00BD54FE">
              <w:t>Espagne</w:t>
            </w:r>
          </w:p>
        </w:tc>
        <w:tc>
          <w:tcPr>
            <w:tcW w:w="860" w:type="dxa"/>
            <w:vAlign w:val="top"/>
          </w:tcPr>
          <w:p w14:paraId="06BE0763"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37</w:t>
            </w:r>
            <w:r>
              <w:t> </w:t>
            </w:r>
            <w:r w:rsidRPr="00BD54FE">
              <w:t>879</w:t>
            </w:r>
          </w:p>
        </w:tc>
        <w:tc>
          <w:tcPr>
            <w:tcW w:w="871" w:type="dxa"/>
            <w:vAlign w:val="top"/>
          </w:tcPr>
          <w:p w14:paraId="432E1471"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4</w:t>
            </w:r>
            <w:r>
              <w:t> </w:t>
            </w:r>
            <w:r w:rsidRPr="00BD54FE">
              <w:t>774</w:t>
            </w:r>
          </w:p>
        </w:tc>
        <w:tc>
          <w:tcPr>
            <w:tcW w:w="892" w:type="dxa"/>
            <w:vAlign w:val="top"/>
          </w:tcPr>
          <w:p w14:paraId="59D304B9"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13%</w:t>
            </w:r>
          </w:p>
        </w:tc>
        <w:tc>
          <w:tcPr>
            <w:tcW w:w="860" w:type="dxa"/>
            <w:vAlign w:val="top"/>
          </w:tcPr>
          <w:p w14:paraId="0F69069A"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w:t>
            </w:r>
            <w:r>
              <w:t> </w:t>
            </w:r>
            <w:r w:rsidRPr="00BD54FE">
              <w:t>192</w:t>
            </w:r>
          </w:p>
        </w:tc>
        <w:tc>
          <w:tcPr>
            <w:tcW w:w="871" w:type="dxa"/>
            <w:vAlign w:val="top"/>
          </w:tcPr>
          <w:p w14:paraId="4B2EE9C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191</w:t>
            </w:r>
          </w:p>
        </w:tc>
        <w:tc>
          <w:tcPr>
            <w:tcW w:w="892" w:type="dxa"/>
            <w:vAlign w:val="top"/>
          </w:tcPr>
          <w:p w14:paraId="61CC75F3"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16%</w:t>
            </w:r>
          </w:p>
        </w:tc>
        <w:tc>
          <w:tcPr>
            <w:tcW w:w="860" w:type="dxa"/>
            <w:vAlign w:val="top"/>
          </w:tcPr>
          <w:p w14:paraId="7BD5DD9D"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708</w:t>
            </w:r>
          </w:p>
        </w:tc>
        <w:tc>
          <w:tcPr>
            <w:tcW w:w="871" w:type="dxa"/>
            <w:vAlign w:val="top"/>
          </w:tcPr>
          <w:p w14:paraId="56A3D748"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107</w:t>
            </w:r>
          </w:p>
        </w:tc>
        <w:tc>
          <w:tcPr>
            <w:tcW w:w="892" w:type="dxa"/>
            <w:vAlign w:val="top"/>
          </w:tcPr>
          <w:p w14:paraId="6686B9C0"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15%</w:t>
            </w:r>
          </w:p>
        </w:tc>
      </w:tr>
      <w:tr w:rsidR="001C5C95" w:rsidRPr="00BD54FE" w14:paraId="01A84B2D" w14:textId="77777777" w:rsidTr="00494E25">
        <w:tc>
          <w:tcPr>
            <w:cnfStyle w:val="001000000000" w:firstRow="0" w:lastRow="0" w:firstColumn="1" w:lastColumn="0" w:oddVBand="0" w:evenVBand="0" w:oddHBand="0" w:evenHBand="0" w:firstRowFirstColumn="0" w:firstRowLastColumn="0" w:lastRowFirstColumn="0" w:lastRowLastColumn="0"/>
            <w:tcW w:w="1029" w:type="dxa"/>
            <w:vAlign w:val="top"/>
          </w:tcPr>
          <w:p w14:paraId="24A2D1BF" w14:textId="77777777" w:rsidR="001C5C95" w:rsidRPr="00BD54FE" w:rsidRDefault="001C5C95" w:rsidP="00494E25">
            <w:pPr>
              <w:pStyle w:val="TableauSchmaOrganigrammecentr"/>
            </w:pPr>
            <w:r w:rsidRPr="00BD54FE">
              <w:t>Allemagne</w:t>
            </w:r>
          </w:p>
        </w:tc>
        <w:tc>
          <w:tcPr>
            <w:tcW w:w="860" w:type="dxa"/>
            <w:vAlign w:val="top"/>
          </w:tcPr>
          <w:p w14:paraId="15554064"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26</w:t>
            </w:r>
            <w:r>
              <w:t> </w:t>
            </w:r>
            <w:r w:rsidRPr="00BD54FE">
              <w:t>957</w:t>
            </w:r>
          </w:p>
        </w:tc>
        <w:tc>
          <w:tcPr>
            <w:tcW w:w="871" w:type="dxa"/>
            <w:vAlign w:val="top"/>
          </w:tcPr>
          <w:p w14:paraId="0293F20E"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4</w:t>
            </w:r>
            <w:r>
              <w:t> </w:t>
            </w:r>
            <w:r w:rsidRPr="00BD54FE">
              <w:t>326</w:t>
            </w:r>
          </w:p>
        </w:tc>
        <w:tc>
          <w:tcPr>
            <w:tcW w:w="892" w:type="dxa"/>
            <w:vAlign w:val="top"/>
          </w:tcPr>
          <w:p w14:paraId="00B9BFA2"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16%</w:t>
            </w:r>
          </w:p>
        </w:tc>
        <w:tc>
          <w:tcPr>
            <w:tcW w:w="860" w:type="dxa"/>
            <w:vAlign w:val="top"/>
          </w:tcPr>
          <w:p w14:paraId="70F95456"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942</w:t>
            </w:r>
          </w:p>
        </w:tc>
        <w:tc>
          <w:tcPr>
            <w:tcW w:w="871" w:type="dxa"/>
            <w:vAlign w:val="top"/>
          </w:tcPr>
          <w:p w14:paraId="282557B5"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159</w:t>
            </w:r>
          </w:p>
        </w:tc>
        <w:tc>
          <w:tcPr>
            <w:tcW w:w="892" w:type="dxa"/>
            <w:vAlign w:val="top"/>
          </w:tcPr>
          <w:p w14:paraId="3BA273C6"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17%</w:t>
            </w:r>
          </w:p>
        </w:tc>
        <w:tc>
          <w:tcPr>
            <w:tcW w:w="860" w:type="dxa"/>
            <w:vAlign w:val="top"/>
          </w:tcPr>
          <w:p w14:paraId="62405589"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509</w:t>
            </w:r>
          </w:p>
        </w:tc>
        <w:tc>
          <w:tcPr>
            <w:tcW w:w="871" w:type="dxa"/>
            <w:vAlign w:val="top"/>
          </w:tcPr>
          <w:p w14:paraId="591E441B"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81</w:t>
            </w:r>
          </w:p>
        </w:tc>
        <w:tc>
          <w:tcPr>
            <w:tcW w:w="892" w:type="dxa"/>
            <w:vAlign w:val="top"/>
          </w:tcPr>
          <w:p w14:paraId="7927A9C1"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16%</w:t>
            </w:r>
          </w:p>
        </w:tc>
      </w:tr>
      <w:tr w:rsidR="001C5C95" w:rsidRPr="00BD54FE" w14:paraId="6F8DD46B" w14:textId="77777777" w:rsidTr="00494E25">
        <w:tc>
          <w:tcPr>
            <w:cnfStyle w:val="001000000000" w:firstRow="0" w:lastRow="0" w:firstColumn="1" w:lastColumn="0" w:oddVBand="0" w:evenVBand="0" w:oddHBand="0" w:evenHBand="0" w:firstRowFirstColumn="0" w:firstRowLastColumn="0" w:lastRowFirstColumn="0" w:lastRowLastColumn="0"/>
            <w:tcW w:w="1029" w:type="dxa"/>
            <w:vAlign w:val="top"/>
          </w:tcPr>
          <w:p w14:paraId="3058ACC7" w14:textId="77777777" w:rsidR="001C5C95" w:rsidRPr="00BD54FE" w:rsidRDefault="001C5C95" w:rsidP="00494E25">
            <w:pPr>
              <w:pStyle w:val="TableauSchmaOrganigrammecentr"/>
            </w:pPr>
            <w:r w:rsidRPr="00BD54FE">
              <w:t>France</w:t>
            </w:r>
          </w:p>
        </w:tc>
        <w:tc>
          <w:tcPr>
            <w:tcW w:w="860" w:type="dxa"/>
            <w:vAlign w:val="top"/>
          </w:tcPr>
          <w:p w14:paraId="54E9274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23</w:t>
            </w:r>
            <w:r>
              <w:t> </w:t>
            </w:r>
            <w:r w:rsidRPr="00BD54FE">
              <w:t>955</w:t>
            </w:r>
          </w:p>
        </w:tc>
        <w:tc>
          <w:tcPr>
            <w:tcW w:w="871" w:type="dxa"/>
            <w:vAlign w:val="top"/>
          </w:tcPr>
          <w:p w14:paraId="0F95DEF3"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3</w:t>
            </w:r>
            <w:r>
              <w:t> </w:t>
            </w:r>
            <w:r w:rsidRPr="00BD54FE">
              <w:t>744</w:t>
            </w:r>
          </w:p>
        </w:tc>
        <w:tc>
          <w:tcPr>
            <w:tcW w:w="892" w:type="dxa"/>
            <w:vAlign w:val="top"/>
          </w:tcPr>
          <w:p w14:paraId="0396D8F6"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16%</w:t>
            </w:r>
          </w:p>
        </w:tc>
        <w:tc>
          <w:tcPr>
            <w:tcW w:w="860" w:type="dxa"/>
            <w:vAlign w:val="top"/>
          </w:tcPr>
          <w:p w14:paraId="4D0E102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852</w:t>
            </w:r>
          </w:p>
        </w:tc>
        <w:tc>
          <w:tcPr>
            <w:tcW w:w="871" w:type="dxa"/>
            <w:vAlign w:val="top"/>
          </w:tcPr>
          <w:p w14:paraId="2F8FCB78"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158</w:t>
            </w:r>
          </w:p>
        </w:tc>
        <w:tc>
          <w:tcPr>
            <w:tcW w:w="892" w:type="dxa"/>
            <w:vAlign w:val="top"/>
          </w:tcPr>
          <w:p w14:paraId="3A7D7FC1"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19%</w:t>
            </w:r>
          </w:p>
        </w:tc>
        <w:tc>
          <w:tcPr>
            <w:tcW w:w="860" w:type="dxa"/>
            <w:vAlign w:val="top"/>
          </w:tcPr>
          <w:p w14:paraId="7B9ADBB0"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480</w:t>
            </w:r>
          </w:p>
        </w:tc>
        <w:tc>
          <w:tcPr>
            <w:tcW w:w="871" w:type="dxa"/>
            <w:vAlign w:val="top"/>
          </w:tcPr>
          <w:p w14:paraId="7EEAE133"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84</w:t>
            </w:r>
          </w:p>
        </w:tc>
        <w:tc>
          <w:tcPr>
            <w:tcW w:w="892" w:type="dxa"/>
            <w:vAlign w:val="top"/>
          </w:tcPr>
          <w:p w14:paraId="13CE61E2"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18%</w:t>
            </w:r>
          </w:p>
        </w:tc>
      </w:tr>
      <w:tr w:rsidR="001C5C95" w:rsidRPr="00BD54FE" w14:paraId="0171EDEB" w14:textId="77777777" w:rsidTr="00494E25">
        <w:tc>
          <w:tcPr>
            <w:cnfStyle w:val="001000000000" w:firstRow="0" w:lastRow="0" w:firstColumn="1" w:lastColumn="0" w:oddVBand="0" w:evenVBand="0" w:oddHBand="0" w:evenHBand="0" w:firstRowFirstColumn="0" w:firstRowLastColumn="0" w:lastRowFirstColumn="0" w:lastRowLastColumn="0"/>
            <w:tcW w:w="1029" w:type="dxa"/>
            <w:vAlign w:val="top"/>
          </w:tcPr>
          <w:p w14:paraId="2F1B0B5A" w14:textId="77777777" w:rsidR="001C5C95" w:rsidRPr="00BD54FE" w:rsidRDefault="001C5C95" w:rsidP="00494E25">
            <w:pPr>
              <w:pStyle w:val="TableauSchmaOrganigrammecentr"/>
            </w:pPr>
            <w:r w:rsidRPr="00BD54FE">
              <w:t>Italie</w:t>
            </w:r>
          </w:p>
        </w:tc>
        <w:tc>
          <w:tcPr>
            <w:tcW w:w="860" w:type="dxa"/>
            <w:vAlign w:val="top"/>
          </w:tcPr>
          <w:p w14:paraId="3B8F468D"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35</w:t>
            </w:r>
            <w:r>
              <w:t> </w:t>
            </w:r>
            <w:r w:rsidRPr="00BD54FE">
              <w:t>632</w:t>
            </w:r>
          </w:p>
        </w:tc>
        <w:tc>
          <w:tcPr>
            <w:tcW w:w="871" w:type="dxa"/>
            <w:vAlign w:val="top"/>
          </w:tcPr>
          <w:p w14:paraId="02925450"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3</w:t>
            </w:r>
            <w:r>
              <w:t> </w:t>
            </w:r>
            <w:r w:rsidRPr="00BD54FE">
              <w:t>555</w:t>
            </w:r>
          </w:p>
        </w:tc>
        <w:tc>
          <w:tcPr>
            <w:tcW w:w="892" w:type="dxa"/>
            <w:vAlign w:val="top"/>
          </w:tcPr>
          <w:p w14:paraId="42B9204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10%</w:t>
            </w:r>
          </w:p>
        </w:tc>
        <w:tc>
          <w:tcPr>
            <w:tcW w:w="860" w:type="dxa"/>
            <w:vAlign w:val="top"/>
          </w:tcPr>
          <w:p w14:paraId="531946B9"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w:t>
            </w:r>
            <w:r>
              <w:t> </w:t>
            </w:r>
            <w:r w:rsidRPr="00BD54FE">
              <w:t>030</w:t>
            </w:r>
          </w:p>
        </w:tc>
        <w:tc>
          <w:tcPr>
            <w:tcW w:w="871" w:type="dxa"/>
            <w:vAlign w:val="top"/>
          </w:tcPr>
          <w:p w14:paraId="0BBB17C1"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111</w:t>
            </w:r>
          </w:p>
        </w:tc>
        <w:tc>
          <w:tcPr>
            <w:tcW w:w="892" w:type="dxa"/>
            <w:vAlign w:val="top"/>
          </w:tcPr>
          <w:p w14:paraId="238AF3D9"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11%</w:t>
            </w:r>
          </w:p>
        </w:tc>
        <w:tc>
          <w:tcPr>
            <w:tcW w:w="860" w:type="dxa"/>
            <w:vAlign w:val="top"/>
          </w:tcPr>
          <w:p w14:paraId="24B9902B"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627</w:t>
            </w:r>
          </w:p>
        </w:tc>
        <w:tc>
          <w:tcPr>
            <w:tcW w:w="871" w:type="dxa"/>
            <w:vAlign w:val="top"/>
          </w:tcPr>
          <w:p w14:paraId="7DDC8E45"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69</w:t>
            </w:r>
          </w:p>
        </w:tc>
        <w:tc>
          <w:tcPr>
            <w:tcW w:w="892" w:type="dxa"/>
            <w:vAlign w:val="top"/>
          </w:tcPr>
          <w:p w14:paraId="114AE64E"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11%</w:t>
            </w:r>
          </w:p>
        </w:tc>
      </w:tr>
      <w:tr w:rsidR="001C5C95" w:rsidRPr="00BD54FE" w14:paraId="1397C346" w14:textId="77777777" w:rsidTr="00494E25">
        <w:tc>
          <w:tcPr>
            <w:cnfStyle w:val="001000000000" w:firstRow="0" w:lastRow="0" w:firstColumn="1" w:lastColumn="0" w:oddVBand="0" w:evenVBand="0" w:oddHBand="0" w:evenHBand="0" w:firstRowFirstColumn="0" w:firstRowLastColumn="0" w:lastRowFirstColumn="0" w:lastRowLastColumn="0"/>
            <w:tcW w:w="1029" w:type="dxa"/>
            <w:vAlign w:val="top"/>
          </w:tcPr>
          <w:p w14:paraId="0AC110F6" w14:textId="77777777" w:rsidR="001C5C95" w:rsidRPr="00BD54FE" w:rsidRDefault="001C5C95" w:rsidP="00494E25">
            <w:pPr>
              <w:pStyle w:val="TableauSchmaOrganigrammecentr"/>
            </w:pPr>
            <w:r w:rsidRPr="00BD54FE">
              <w:t>Pays-Bas</w:t>
            </w:r>
          </w:p>
        </w:tc>
        <w:tc>
          <w:tcPr>
            <w:tcW w:w="860" w:type="dxa"/>
            <w:vAlign w:val="top"/>
          </w:tcPr>
          <w:p w14:paraId="2BB476E0"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15</w:t>
            </w:r>
            <w:r>
              <w:t> </w:t>
            </w:r>
            <w:r w:rsidRPr="00BD54FE">
              <w:t>747</w:t>
            </w:r>
          </w:p>
        </w:tc>
        <w:tc>
          <w:tcPr>
            <w:tcW w:w="871" w:type="dxa"/>
            <w:vAlign w:val="top"/>
          </w:tcPr>
          <w:p w14:paraId="4541359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2</w:t>
            </w:r>
            <w:r>
              <w:t> </w:t>
            </w:r>
            <w:r w:rsidRPr="00BD54FE">
              <w:t>779</w:t>
            </w:r>
          </w:p>
        </w:tc>
        <w:tc>
          <w:tcPr>
            <w:tcW w:w="892" w:type="dxa"/>
            <w:vAlign w:val="top"/>
          </w:tcPr>
          <w:p w14:paraId="71B2E678"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18%</w:t>
            </w:r>
          </w:p>
        </w:tc>
        <w:tc>
          <w:tcPr>
            <w:tcW w:w="860" w:type="dxa"/>
            <w:vAlign w:val="top"/>
          </w:tcPr>
          <w:p w14:paraId="774079A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516</w:t>
            </w:r>
          </w:p>
        </w:tc>
        <w:tc>
          <w:tcPr>
            <w:tcW w:w="871" w:type="dxa"/>
            <w:vAlign w:val="top"/>
          </w:tcPr>
          <w:p w14:paraId="7F892495"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104</w:t>
            </w:r>
          </w:p>
        </w:tc>
        <w:tc>
          <w:tcPr>
            <w:tcW w:w="892" w:type="dxa"/>
            <w:vAlign w:val="top"/>
          </w:tcPr>
          <w:p w14:paraId="4B4D6BA1"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20%</w:t>
            </w:r>
          </w:p>
        </w:tc>
        <w:tc>
          <w:tcPr>
            <w:tcW w:w="860" w:type="dxa"/>
            <w:vAlign w:val="top"/>
          </w:tcPr>
          <w:p w14:paraId="7426D0EF"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280</w:t>
            </w:r>
          </w:p>
        </w:tc>
        <w:tc>
          <w:tcPr>
            <w:tcW w:w="871" w:type="dxa"/>
            <w:vAlign w:val="top"/>
          </w:tcPr>
          <w:p w14:paraId="102A4BAD"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43</w:t>
            </w:r>
          </w:p>
        </w:tc>
        <w:tc>
          <w:tcPr>
            <w:tcW w:w="892" w:type="dxa"/>
            <w:vAlign w:val="top"/>
          </w:tcPr>
          <w:p w14:paraId="41A5E039" w14:textId="77777777" w:rsidR="001C5C95" w:rsidRPr="00BD54FE"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BD54FE">
              <w:t>15%</w:t>
            </w:r>
          </w:p>
        </w:tc>
      </w:tr>
      <w:tr w:rsidR="001C5C95" w:rsidRPr="00BD54FE" w14:paraId="6416C525" w14:textId="77777777" w:rsidTr="00494E25">
        <w:tc>
          <w:tcPr>
            <w:cnfStyle w:val="001000000000" w:firstRow="0" w:lastRow="0" w:firstColumn="1" w:lastColumn="0" w:oddVBand="0" w:evenVBand="0" w:oddHBand="0" w:evenHBand="0" w:firstRowFirstColumn="0" w:firstRowLastColumn="0" w:lastRowFirstColumn="0" w:lastRowLastColumn="0"/>
            <w:tcW w:w="1029" w:type="dxa"/>
            <w:vAlign w:val="top"/>
          </w:tcPr>
          <w:p w14:paraId="402B22BB" w14:textId="77777777" w:rsidR="001C5C95" w:rsidRPr="00894D87" w:rsidRDefault="001C5C95" w:rsidP="00494E25">
            <w:pPr>
              <w:pStyle w:val="TableauSchmaOrganigrammecentr"/>
            </w:pPr>
            <w:r w:rsidRPr="00894D87">
              <w:t>Ensemble des cinq pays</w:t>
            </w:r>
          </w:p>
        </w:tc>
        <w:tc>
          <w:tcPr>
            <w:tcW w:w="860" w:type="dxa"/>
            <w:vAlign w:val="top"/>
          </w:tcPr>
          <w:p w14:paraId="51E032A7"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140</w:t>
            </w:r>
            <w:r>
              <w:t> </w:t>
            </w:r>
            <w:r w:rsidRPr="00894D87">
              <w:t>170</w:t>
            </w:r>
          </w:p>
        </w:tc>
        <w:tc>
          <w:tcPr>
            <w:tcW w:w="871" w:type="dxa"/>
            <w:vAlign w:val="top"/>
          </w:tcPr>
          <w:p w14:paraId="21041EE4"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19</w:t>
            </w:r>
            <w:r>
              <w:t> </w:t>
            </w:r>
            <w:r w:rsidRPr="00894D87">
              <w:t>178</w:t>
            </w:r>
          </w:p>
        </w:tc>
        <w:tc>
          <w:tcPr>
            <w:tcW w:w="892" w:type="dxa"/>
            <w:vAlign w:val="top"/>
          </w:tcPr>
          <w:p w14:paraId="3621CBB9"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14%</w:t>
            </w:r>
          </w:p>
        </w:tc>
        <w:tc>
          <w:tcPr>
            <w:tcW w:w="860" w:type="dxa"/>
            <w:vAlign w:val="top"/>
          </w:tcPr>
          <w:p w14:paraId="49914934"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4</w:t>
            </w:r>
            <w:r>
              <w:t> </w:t>
            </w:r>
            <w:r w:rsidRPr="00894D87">
              <w:t>532</w:t>
            </w:r>
          </w:p>
        </w:tc>
        <w:tc>
          <w:tcPr>
            <w:tcW w:w="871" w:type="dxa"/>
            <w:vAlign w:val="top"/>
          </w:tcPr>
          <w:p w14:paraId="65B2374A"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723</w:t>
            </w:r>
          </w:p>
        </w:tc>
        <w:tc>
          <w:tcPr>
            <w:tcW w:w="892" w:type="dxa"/>
            <w:vAlign w:val="top"/>
          </w:tcPr>
          <w:p w14:paraId="01000534"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16%</w:t>
            </w:r>
          </w:p>
        </w:tc>
        <w:tc>
          <w:tcPr>
            <w:tcW w:w="860" w:type="dxa"/>
            <w:vAlign w:val="top"/>
          </w:tcPr>
          <w:p w14:paraId="78D43DE8"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2</w:t>
            </w:r>
            <w:r>
              <w:t> </w:t>
            </w:r>
            <w:r w:rsidRPr="00894D87">
              <w:t>604</w:t>
            </w:r>
          </w:p>
        </w:tc>
        <w:tc>
          <w:tcPr>
            <w:tcW w:w="871" w:type="dxa"/>
            <w:vAlign w:val="top"/>
          </w:tcPr>
          <w:p w14:paraId="0157D8F5"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384</w:t>
            </w:r>
          </w:p>
        </w:tc>
        <w:tc>
          <w:tcPr>
            <w:tcW w:w="892" w:type="dxa"/>
            <w:vAlign w:val="top"/>
          </w:tcPr>
          <w:p w14:paraId="222AEEC5" w14:textId="77777777" w:rsidR="001C5C95" w:rsidRPr="00894D87" w:rsidRDefault="001C5C9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94D87">
              <w:t>15%</w:t>
            </w:r>
          </w:p>
        </w:tc>
      </w:tr>
    </w:tbl>
    <w:p w14:paraId="58961004" w14:textId="1EC823DB" w:rsidR="001C5C95" w:rsidRDefault="001C5C95" w:rsidP="001C5C95">
      <w:pPr>
        <w:pStyle w:val="TexteSource"/>
      </w:pPr>
      <w:r>
        <w:t>Source :</w:t>
      </w:r>
      <w:r w:rsidRPr="005438C8">
        <w:t xml:space="preserve"> analyses sémantiques de la Cour des comptes d’après les jeux de données Horizon 2020 et Horizon Europe du MESR.</w:t>
      </w:r>
    </w:p>
    <w:p w14:paraId="7F14531C" w14:textId="529BBD28" w:rsidR="0071188A" w:rsidRDefault="0071188A" w:rsidP="0071188A">
      <w:pPr>
        <w:rPr>
          <w:lang w:eastAsia="fr-FR"/>
        </w:rPr>
      </w:pPr>
    </w:p>
    <w:p w14:paraId="3BB49C1F" w14:textId="6B2ECC58" w:rsidR="0071188A" w:rsidRPr="00F61836" w:rsidRDefault="007365FA" w:rsidP="00F61836">
      <w:pPr>
        <w:rPr>
          <w:u w:val="single"/>
        </w:rPr>
      </w:pPr>
      <w:r>
        <w:rPr>
          <w:u w:val="single"/>
          <w:lang w:eastAsia="fr-FR"/>
        </w:rPr>
        <w:t>Financements</w:t>
      </w:r>
      <w:r w:rsidR="0071188A">
        <w:rPr>
          <w:u w:val="single"/>
          <w:lang w:eastAsia="fr-FR"/>
        </w:rPr>
        <w:t xml:space="preserve"> de l’agence nationale de la recherche (ANR)</w:t>
      </w:r>
    </w:p>
    <w:p w14:paraId="24DBA9B1" w14:textId="4AA0222D" w:rsidR="001C5C95" w:rsidRDefault="001C5C95" w:rsidP="001C5C95">
      <w:pPr>
        <w:pStyle w:val="Titretableau"/>
        <w:spacing w:before="400"/>
      </w:pPr>
      <w:r>
        <w:t xml:space="preserve"> Évolutions des financements de l’ANR entre les PNACC n°1 et °2 </w:t>
      </w:r>
      <w:r w:rsidR="00592334">
        <w:br/>
      </w:r>
      <w:r>
        <w:t>(en M€, en % et évolutions en points)</w:t>
      </w:r>
    </w:p>
    <w:tbl>
      <w:tblPr>
        <w:tblStyle w:val="TABLEAURAPPORTPUBLICANNUEL"/>
        <w:tblpPr w:leftFromText="141" w:rightFromText="141" w:vertAnchor="text" w:tblpY="1"/>
        <w:tblOverlap w:val="never"/>
        <w:tblW w:w="7937" w:type="dxa"/>
        <w:tblInd w:w="0" w:type="dxa"/>
        <w:tblLook w:val="04A0" w:firstRow="1" w:lastRow="0" w:firstColumn="1" w:lastColumn="0" w:noHBand="0" w:noVBand="1"/>
      </w:tblPr>
      <w:tblGrid>
        <w:gridCol w:w="1644"/>
        <w:gridCol w:w="1140"/>
        <w:gridCol w:w="1090"/>
        <w:gridCol w:w="825"/>
        <w:gridCol w:w="1090"/>
        <w:gridCol w:w="972"/>
        <w:gridCol w:w="1176"/>
      </w:tblGrid>
      <w:tr w:rsidR="001C5C95" w14:paraId="09E802C8" w14:textId="77777777" w:rsidTr="00494E2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12" w:type="dxa"/>
            <w:vAlign w:val="top"/>
          </w:tcPr>
          <w:p w14:paraId="1A09B1BC" w14:textId="77777777" w:rsidR="001C5C95" w:rsidRPr="00E82854" w:rsidRDefault="001C5C95" w:rsidP="00494E25">
            <w:pPr>
              <w:pStyle w:val="TableauSchmaOrganigrammealignementgauche"/>
            </w:pPr>
          </w:p>
        </w:tc>
        <w:tc>
          <w:tcPr>
            <w:tcW w:w="869" w:type="dxa"/>
            <w:vAlign w:val="top"/>
          </w:tcPr>
          <w:p w14:paraId="00F44940" w14:textId="77777777" w:rsidR="001C5C95" w:rsidRPr="00E82854" w:rsidRDefault="001C5C95"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E82854">
              <w:t>Total montants 2010 à 2022</w:t>
            </w:r>
            <w:r>
              <w:t xml:space="preserve"> (en M€)</w:t>
            </w:r>
          </w:p>
        </w:tc>
        <w:tc>
          <w:tcPr>
            <w:tcW w:w="1471" w:type="dxa"/>
            <w:gridSpan w:val="2"/>
            <w:vAlign w:val="top"/>
          </w:tcPr>
          <w:p w14:paraId="36AAC875" w14:textId="77777777" w:rsidR="001C5C95" w:rsidRPr="00E82854" w:rsidRDefault="001C5C95"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rPr>
                <w:b w:val="0"/>
              </w:rPr>
            </w:pPr>
            <w:r w:rsidRPr="00E82854">
              <w:t xml:space="preserve">Sous-total </w:t>
            </w:r>
            <w:r>
              <w:t xml:space="preserve">période du </w:t>
            </w:r>
            <w:r w:rsidRPr="00E82854">
              <w:t xml:space="preserve">PNACC </w:t>
            </w:r>
            <w:r>
              <w:t>n°</w:t>
            </w:r>
            <w:r w:rsidRPr="00E82854">
              <w:t>1 (2011 à 2015)</w:t>
            </w:r>
          </w:p>
        </w:tc>
        <w:tc>
          <w:tcPr>
            <w:tcW w:w="1666" w:type="dxa"/>
            <w:gridSpan w:val="2"/>
            <w:vAlign w:val="top"/>
          </w:tcPr>
          <w:p w14:paraId="50D910CA" w14:textId="77777777" w:rsidR="001C5C95" w:rsidRPr="00E82854" w:rsidRDefault="001C5C95"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rPr>
                <w:b w:val="0"/>
              </w:rPr>
            </w:pPr>
            <w:r w:rsidRPr="00E82854">
              <w:t xml:space="preserve">Sous-total </w:t>
            </w:r>
            <w:r>
              <w:t xml:space="preserve">période du </w:t>
            </w:r>
            <w:r w:rsidRPr="00E82854">
              <w:t xml:space="preserve">PNACC </w:t>
            </w:r>
            <w:r>
              <w:t>n°</w:t>
            </w:r>
            <w:r w:rsidRPr="00E82854">
              <w:t>2 (2018 à 2022)</w:t>
            </w:r>
          </w:p>
        </w:tc>
        <w:tc>
          <w:tcPr>
            <w:tcW w:w="896" w:type="dxa"/>
            <w:vAlign w:val="top"/>
          </w:tcPr>
          <w:p w14:paraId="3265E3FC" w14:textId="77777777" w:rsidR="001C5C95" w:rsidRPr="00E82854" w:rsidRDefault="001C5C95"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E82854">
              <w:t xml:space="preserve">Évolution </w:t>
            </w:r>
            <w:r>
              <w:t>entre les deux périodes</w:t>
            </w:r>
            <w:r w:rsidRPr="00E82854">
              <w:t xml:space="preserve"> (en points)</w:t>
            </w:r>
          </w:p>
        </w:tc>
      </w:tr>
      <w:tr w:rsidR="001C5C95" w14:paraId="305737B3" w14:textId="77777777" w:rsidTr="00494E25">
        <w:tc>
          <w:tcPr>
            <w:cnfStyle w:val="001000000000" w:firstRow="0" w:lastRow="0" w:firstColumn="1" w:lastColumn="0" w:oddVBand="0" w:evenVBand="0" w:oddHBand="0" w:evenHBand="0" w:firstRowFirstColumn="0" w:firstRowLastColumn="0" w:lastRowFirstColumn="0" w:lastRowLastColumn="0"/>
            <w:tcW w:w="1212" w:type="dxa"/>
            <w:vAlign w:val="top"/>
          </w:tcPr>
          <w:p w14:paraId="24BF6A08" w14:textId="77777777" w:rsidR="001C5C95" w:rsidRPr="00E82854" w:rsidRDefault="001C5C95" w:rsidP="00494E25">
            <w:pPr>
              <w:pStyle w:val="TableauSchmaOrganigrammealignementgauche"/>
            </w:pPr>
          </w:p>
        </w:tc>
        <w:tc>
          <w:tcPr>
            <w:tcW w:w="869" w:type="dxa"/>
            <w:vAlign w:val="top"/>
          </w:tcPr>
          <w:p w14:paraId="5E53714C"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p>
        </w:tc>
        <w:tc>
          <w:tcPr>
            <w:tcW w:w="833" w:type="dxa"/>
            <w:vAlign w:val="top"/>
          </w:tcPr>
          <w:p w14:paraId="422E59E2"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Montants</w:t>
            </w:r>
            <w:r>
              <w:t xml:space="preserve"> (en M€)</w:t>
            </w:r>
          </w:p>
        </w:tc>
        <w:tc>
          <w:tcPr>
            <w:tcW w:w="638" w:type="dxa"/>
            <w:vAlign w:val="top"/>
          </w:tcPr>
          <w:p w14:paraId="073B14D0"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Part du total</w:t>
            </w:r>
            <w:r>
              <w:t xml:space="preserve"> (en %)</w:t>
            </w:r>
          </w:p>
        </w:tc>
        <w:tc>
          <w:tcPr>
            <w:tcW w:w="833" w:type="dxa"/>
            <w:vAlign w:val="top"/>
          </w:tcPr>
          <w:p w14:paraId="009A1DA6"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Montants</w:t>
            </w:r>
            <w:r>
              <w:t xml:space="preserve"> (en M€)</w:t>
            </w:r>
          </w:p>
        </w:tc>
        <w:tc>
          <w:tcPr>
            <w:tcW w:w="833" w:type="dxa"/>
            <w:vAlign w:val="top"/>
          </w:tcPr>
          <w:p w14:paraId="3370119E"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2A2BF7">
              <w:t xml:space="preserve">Part du total </w:t>
            </w:r>
            <w:r>
              <w:t>(en %)</w:t>
            </w:r>
          </w:p>
        </w:tc>
        <w:tc>
          <w:tcPr>
            <w:tcW w:w="896" w:type="dxa"/>
            <w:vAlign w:val="top"/>
          </w:tcPr>
          <w:p w14:paraId="6D60A999"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p>
        </w:tc>
      </w:tr>
      <w:tr w:rsidR="001C5C95" w14:paraId="2009C362" w14:textId="77777777" w:rsidTr="00494E25">
        <w:tc>
          <w:tcPr>
            <w:cnfStyle w:val="001000000000" w:firstRow="0" w:lastRow="0" w:firstColumn="1" w:lastColumn="0" w:oddVBand="0" w:evenVBand="0" w:oddHBand="0" w:evenHBand="0" w:firstRowFirstColumn="0" w:firstRowLastColumn="0" w:lastRowFirstColumn="0" w:lastRowLastColumn="0"/>
            <w:tcW w:w="1212" w:type="dxa"/>
            <w:vAlign w:val="top"/>
          </w:tcPr>
          <w:p w14:paraId="1D00997C" w14:textId="77777777" w:rsidR="001C5C95" w:rsidRPr="00E82854" w:rsidRDefault="001C5C95" w:rsidP="00494E25">
            <w:pPr>
              <w:pStyle w:val="TableauSchmaOrganigrammealignementgauche"/>
            </w:pPr>
            <w:r w:rsidRPr="00E82854">
              <w:t>Ensemble des recherches soutenues</w:t>
            </w:r>
            <w:r>
              <w:t xml:space="preserve"> (effet « basal » de la loi de programmation de la recherche)</w:t>
            </w:r>
          </w:p>
        </w:tc>
        <w:tc>
          <w:tcPr>
            <w:tcW w:w="869" w:type="dxa"/>
            <w:vAlign w:val="top"/>
          </w:tcPr>
          <w:p w14:paraId="3B0CDA27"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78</w:t>
            </w:r>
            <w:r>
              <w:t> </w:t>
            </w:r>
            <w:r w:rsidRPr="00E82854">
              <w:t>13,96</w:t>
            </w:r>
          </w:p>
        </w:tc>
        <w:tc>
          <w:tcPr>
            <w:tcW w:w="833" w:type="dxa"/>
            <w:vAlign w:val="top"/>
          </w:tcPr>
          <w:p w14:paraId="7719D52B"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2</w:t>
            </w:r>
            <w:r>
              <w:t> </w:t>
            </w:r>
            <w:r w:rsidRPr="00E82854">
              <w:t>370,77</w:t>
            </w:r>
          </w:p>
        </w:tc>
        <w:tc>
          <w:tcPr>
            <w:tcW w:w="638" w:type="dxa"/>
            <w:vAlign w:val="top"/>
          </w:tcPr>
          <w:p w14:paraId="3513CC02"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30,3%</w:t>
            </w:r>
          </w:p>
        </w:tc>
        <w:tc>
          <w:tcPr>
            <w:tcW w:w="833" w:type="dxa"/>
            <w:vAlign w:val="top"/>
          </w:tcPr>
          <w:p w14:paraId="53862618"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3</w:t>
            </w:r>
            <w:r>
              <w:t> </w:t>
            </w:r>
            <w:r w:rsidRPr="00E82854">
              <w:t>788,87</w:t>
            </w:r>
          </w:p>
        </w:tc>
        <w:tc>
          <w:tcPr>
            <w:tcW w:w="833" w:type="dxa"/>
            <w:vAlign w:val="top"/>
          </w:tcPr>
          <w:p w14:paraId="5C70377D"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48,5%</w:t>
            </w:r>
          </w:p>
        </w:tc>
        <w:tc>
          <w:tcPr>
            <w:tcW w:w="896" w:type="dxa"/>
            <w:vAlign w:val="top"/>
          </w:tcPr>
          <w:p w14:paraId="580DAF45"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18,1</w:t>
            </w:r>
            <w:r>
              <w:t xml:space="preserve"> points</w:t>
            </w:r>
          </w:p>
        </w:tc>
      </w:tr>
      <w:tr w:rsidR="001C5C95" w14:paraId="5A9870BF" w14:textId="77777777" w:rsidTr="00494E25">
        <w:tc>
          <w:tcPr>
            <w:cnfStyle w:val="001000000000" w:firstRow="0" w:lastRow="0" w:firstColumn="1" w:lastColumn="0" w:oddVBand="0" w:evenVBand="0" w:oddHBand="0" w:evenHBand="0" w:firstRowFirstColumn="0" w:firstRowLastColumn="0" w:lastRowFirstColumn="0" w:lastRowLastColumn="0"/>
            <w:tcW w:w="1212" w:type="dxa"/>
            <w:vAlign w:val="top"/>
          </w:tcPr>
          <w:p w14:paraId="31994DDC" w14:textId="77777777" w:rsidR="001C5C95" w:rsidRPr="00E82854" w:rsidRDefault="001C5C95" w:rsidP="00494E25">
            <w:pPr>
              <w:pStyle w:val="TableauSchmaOrganigrammealignementgauche"/>
            </w:pPr>
            <w:r w:rsidRPr="00E82854">
              <w:t>Total recherche pour l'adaptation (ANR au titre du PNACC)</w:t>
            </w:r>
          </w:p>
        </w:tc>
        <w:tc>
          <w:tcPr>
            <w:tcW w:w="869" w:type="dxa"/>
            <w:vAlign w:val="top"/>
          </w:tcPr>
          <w:p w14:paraId="614CC0CB"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306,41</w:t>
            </w:r>
          </w:p>
        </w:tc>
        <w:tc>
          <w:tcPr>
            <w:tcW w:w="833" w:type="dxa"/>
            <w:vAlign w:val="top"/>
          </w:tcPr>
          <w:p w14:paraId="588D1DB6"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113,65</w:t>
            </w:r>
          </w:p>
        </w:tc>
        <w:tc>
          <w:tcPr>
            <w:tcW w:w="638" w:type="dxa"/>
            <w:vAlign w:val="top"/>
          </w:tcPr>
          <w:p w14:paraId="38B9B386"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37,1%</w:t>
            </w:r>
          </w:p>
        </w:tc>
        <w:tc>
          <w:tcPr>
            <w:tcW w:w="833" w:type="dxa"/>
            <w:vAlign w:val="top"/>
          </w:tcPr>
          <w:p w14:paraId="4728DE71"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142,98</w:t>
            </w:r>
          </w:p>
        </w:tc>
        <w:tc>
          <w:tcPr>
            <w:tcW w:w="833" w:type="dxa"/>
            <w:vAlign w:val="top"/>
          </w:tcPr>
          <w:p w14:paraId="05EA68D3"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46,7%</w:t>
            </w:r>
          </w:p>
        </w:tc>
        <w:tc>
          <w:tcPr>
            <w:tcW w:w="896" w:type="dxa"/>
            <w:vAlign w:val="top"/>
          </w:tcPr>
          <w:p w14:paraId="0CC41CFB"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9,6</w:t>
            </w:r>
            <w:r>
              <w:t xml:space="preserve"> </w:t>
            </w:r>
            <w:r w:rsidRPr="00E82854">
              <w:t>points</w:t>
            </w:r>
          </w:p>
        </w:tc>
      </w:tr>
      <w:tr w:rsidR="001C5C95" w14:paraId="3D2E08DB" w14:textId="77777777" w:rsidTr="00494E25">
        <w:tc>
          <w:tcPr>
            <w:cnfStyle w:val="001000000000" w:firstRow="0" w:lastRow="0" w:firstColumn="1" w:lastColumn="0" w:oddVBand="0" w:evenVBand="0" w:oddHBand="0" w:evenHBand="0" w:firstRowFirstColumn="0" w:firstRowLastColumn="0" w:lastRowFirstColumn="0" w:lastRowLastColumn="0"/>
            <w:tcW w:w="1212" w:type="dxa"/>
            <w:vAlign w:val="top"/>
          </w:tcPr>
          <w:p w14:paraId="252A25A2" w14:textId="77777777" w:rsidR="001C5C95" w:rsidRPr="00E82854" w:rsidRDefault="001C5C95" w:rsidP="00494E25">
            <w:pPr>
              <w:pStyle w:val="TableauSchmaOrganigrammealignementgauche"/>
            </w:pPr>
            <w:r w:rsidRPr="00E82854">
              <w:t>dont recherche en compréhension du climat (ANR)</w:t>
            </w:r>
          </w:p>
        </w:tc>
        <w:tc>
          <w:tcPr>
            <w:tcW w:w="869" w:type="dxa"/>
            <w:vAlign w:val="top"/>
          </w:tcPr>
          <w:p w14:paraId="5CF26DF3"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100,95</w:t>
            </w:r>
          </w:p>
        </w:tc>
        <w:tc>
          <w:tcPr>
            <w:tcW w:w="833" w:type="dxa"/>
            <w:vAlign w:val="top"/>
          </w:tcPr>
          <w:p w14:paraId="5B70E2A9"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22,04</w:t>
            </w:r>
          </w:p>
        </w:tc>
        <w:tc>
          <w:tcPr>
            <w:tcW w:w="638" w:type="dxa"/>
            <w:vAlign w:val="top"/>
          </w:tcPr>
          <w:p w14:paraId="14B45001"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21,8%</w:t>
            </w:r>
          </w:p>
        </w:tc>
        <w:tc>
          <w:tcPr>
            <w:tcW w:w="833" w:type="dxa"/>
            <w:vAlign w:val="top"/>
          </w:tcPr>
          <w:p w14:paraId="646DEB56"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62,98</w:t>
            </w:r>
          </w:p>
        </w:tc>
        <w:tc>
          <w:tcPr>
            <w:tcW w:w="833" w:type="dxa"/>
            <w:vAlign w:val="top"/>
          </w:tcPr>
          <w:p w14:paraId="67EA2C30"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62,4%</w:t>
            </w:r>
          </w:p>
        </w:tc>
        <w:tc>
          <w:tcPr>
            <w:tcW w:w="896" w:type="dxa"/>
            <w:vAlign w:val="top"/>
          </w:tcPr>
          <w:p w14:paraId="1DAE2780"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40,6</w:t>
            </w:r>
            <w:r>
              <w:t xml:space="preserve"> </w:t>
            </w:r>
            <w:r w:rsidRPr="00E82854">
              <w:t>points</w:t>
            </w:r>
          </w:p>
        </w:tc>
      </w:tr>
      <w:tr w:rsidR="001C5C95" w14:paraId="4FE87EC5" w14:textId="77777777" w:rsidTr="00494E25">
        <w:tc>
          <w:tcPr>
            <w:cnfStyle w:val="001000000000" w:firstRow="0" w:lastRow="0" w:firstColumn="1" w:lastColumn="0" w:oddVBand="0" w:evenVBand="0" w:oddHBand="0" w:evenHBand="0" w:firstRowFirstColumn="0" w:firstRowLastColumn="0" w:lastRowFirstColumn="0" w:lastRowLastColumn="0"/>
            <w:tcW w:w="1212" w:type="dxa"/>
            <w:vAlign w:val="top"/>
          </w:tcPr>
          <w:p w14:paraId="2A168B9B" w14:textId="77777777" w:rsidR="001C5C95" w:rsidRPr="00E82854" w:rsidRDefault="001C5C95" w:rsidP="00494E25">
            <w:pPr>
              <w:pStyle w:val="TableauSchmaOrganigrammealignementgauche"/>
            </w:pPr>
            <w:r w:rsidRPr="00E82854">
              <w:t xml:space="preserve">dont recherche sur l'impact du changement climatique (ANR) </w:t>
            </w:r>
          </w:p>
        </w:tc>
        <w:tc>
          <w:tcPr>
            <w:tcW w:w="869" w:type="dxa"/>
            <w:vAlign w:val="top"/>
          </w:tcPr>
          <w:p w14:paraId="3DF68F2D"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98,59</w:t>
            </w:r>
          </w:p>
        </w:tc>
        <w:tc>
          <w:tcPr>
            <w:tcW w:w="833" w:type="dxa"/>
            <w:vAlign w:val="top"/>
          </w:tcPr>
          <w:p w14:paraId="36DF9155"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41,98</w:t>
            </w:r>
          </w:p>
        </w:tc>
        <w:tc>
          <w:tcPr>
            <w:tcW w:w="638" w:type="dxa"/>
            <w:vAlign w:val="top"/>
          </w:tcPr>
          <w:p w14:paraId="39D73781"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42,6%</w:t>
            </w:r>
          </w:p>
        </w:tc>
        <w:tc>
          <w:tcPr>
            <w:tcW w:w="833" w:type="dxa"/>
            <w:vAlign w:val="top"/>
          </w:tcPr>
          <w:p w14:paraId="10793099"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43,58</w:t>
            </w:r>
          </w:p>
        </w:tc>
        <w:tc>
          <w:tcPr>
            <w:tcW w:w="833" w:type="dxa"/>
            <w:vAlign w:val="top"/>
          </w:tcPr>
          <w:p w14:paraId="144A242B"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44,2%</w:t>
            </w:r>
          </w:p>
        </w:tc>
        <w:tc>
          <w:tcPr>
            <w:tcW w:w="896" w:type="dxa"/>
            <w:vAlign w:val="top"/>
          </w:tcPr>
          <w:p w14:paraId="7B5A3D24"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1,6</w:t>
            </w:r>
            <w:r>
              <w:t xml:space="preserve"> </w:t>
            </w:r>
            <w:r w:rsidRPr="00E82854">
              <w:t>points</w:t>
            </w:r>
          </w:p>
        </w:tc>
      </w:tr>
      <w:tr w:rsidR="001C5C95" w14:paraId="63432F8E" w14:textId="77777777" w:rsidTr="00494E25">
        <w:tc>
          <w:tcPr>
            <w:cnfStyle w:val="001000000000" w:firstRow="0" w:lastRow="0" w:firstColumn="1" w:lastColumn="0" w:oddVBand="0" w:evenVBand="0" w:oddHBand="0" w:evenHBand="0" w:firstRowFirstColumn="0" w:firstRowLastColumn="0" w:lastRowFirstColumn="0" w:lastRowLastColumn="0"/>
            <w:tcW w:w="1212" w:type="dxa"/>
            <w:vAlign w:val="top"/>
          </w:tcPr>
          <w:p w14:paraId="25542C9A" w14:textId="77777777" w:rsidR="001C5C95" w:rsidRPr="00E82854" w:rsidRDefault="001C5C95" w:rsidP="00494E25">
            <w:pPr>
              <w:pStyle w:val="TableauSchmaOrganigrammealignementgauche"/>
            </w:pPr>
            <w:r w:rsidRPr="00E82854">
              <w:t>dont recherche en adaptation (ANR)</w:t>
            </w:r>
          </w:p>
        </w:tc>
        <w:tc>
          <w:tcPr>
            <w:tcW w:w="869" w:type="dxa"/>
            <w:vAlign w:val="top"/>
          </w:tcPr>
          <w:p w14:paraId="293FCC0A"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106,86</w:t>
            </w:r>
          </w:p>
        </w:tc>
        <w:tc>
          <w:tcPr>
            <w:tcW w:w="833" w:type="dxa"/>
            <w:vAlign w:val="top"/>
          </w:tcPr>
          <w:p w14:paraId="0F836909"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49,63</w:t>
            </w:r>
          </w:p>
        </w:tc>
        <w:tc>
          <w:tcPr>
            <w:tcW w:w="638" w:type="dxa"/>
            <w:vAlign w:val="top"/>
          </w:tcPr>
          <w:p w14:paraId="3F614A19"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46,4%</w:t>
            </w:r>
          </w:p>
        </w:tc>
        <w:tc>
          <w:tcPr>
            <w:tcW w:w="833" w:type="dxa"/>
            <w:vAlign w:val="top"/>
          </w:tcPr>
          <w:p w14:paraId="12647408"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36,42</w:t>
            </w:r>
          </w:p>
        </w:tc>
        <w:tc>
          <w:tcPr>
            <w:tcW w:w="833" w:type="dxa"/>
            <w:vAlign w:val="top"/>
          </w:tcPr>
          <w:p w14:paraId="32C40D4E"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34,1%</w:t>
            </w:r>
          </w:p>
        </w:tc>
        <w:tc>
          <w:tcPr>
            <w:tcW w:w="896" w:type="dxa"/>
            <w:vAlign w:val="top"/>
          </w:tcPr>
          <w:p w14:paraId="263F3E3B" w14:textId="77777777" w:rsidR="001C5C95" w:rsidRPr="00E82854" w:rsidRDefault="001C5C95"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E82854">
              <w:t>-12,4</w:t>
            </w:r>
            <w:r>
              <w:t xml:space="preserve"> </w:t>
            </w:r>
            <w:r w:rsidRPr="00E82854">
              <w:t>points</w:t>
            </w:r>
          </w:p>
        </w:tc>
      </w:tr>
    </w:tbl>
    <w:p w14:paraId="2384376D" w14:textId="77777777" w:rsidR="001C5C95" w:rsidRPr="00E82854" w:rsidRDefault="001C5C95" w:rsidP="001C5C95">
      <w:pPr>
        <w:pStyle w:val="TexteSource"/>
      </w:pPr>
      <w:r>
        <w:lastRenderedPageBreak/>
        <w:br w:type="textWrapping" w:clear="all"/>
      </w:r>
      <w:r w:rsidRPr="00E82854">
        <w:t xml:space="preserve">Source : </w:t>
      </w:r>
      <w:r>
        <w:t>analyses</w:t>
      </w:r>
      <w:r w:rsidRPr="00E82854">
        <w:t xml:space="preserve"> Cour des comptes</w:t>
      </w:r>
      <w:r>
        <w:t xml:space="preserve"> d’après</w:t>
      </w:r>
      <w:r w:rsidRPr="00E82854">
        <w:t xml:space="preserve"> </w:t>
      </w:r>
      <w:r w:rsidRPr="0087079D">
        <w:t>les données ouvertes de l’</w:t>
      </w:r>
      <w:r>
        <w:t>ANR ainsi que</w:t>
      </w:r>
      <w:r w:rsidRPr="00E82854">
        <w:t xml:space="preserve"> le jeu de données « PNACC » constitué par l’</w:t>
      </w:r>
      <w:r>
        <w:t>agence.</w:t>
      </w:r>
    </w:p>
    <w:p w14:paraId="70F1868C" w14:textId="77777777" w:rsidR="00324A64" w:rsidRDefault="00324A64" w:rsidP="00324A64">
      <w:pPr>
        <w:rPr>
          <w:rFonts w:eastAsiaTheme="majorEastAsia"/>
          <w:u w:val="single"/>
        </w:rPr>
      </w:pPr>
    </w:p>
    <w:p w14:paraId="23985AB4" w14:textId="77323366" w:rsidR="00324A64" w:rsidRDefault="00324A64" w:rsidP="00324A64">
      <w:pPr>
        <w:rPr>
          <w:rFonts w:eastAsiaTheme="majorEastAsia"/>
          <w:u w:val="single"/>
        </w:rPr>
      </w:pPr>
      <w:r w:rsidRPr="008F4486">
        <w:rPr>
          <w:rFonts w:eastAsiaTheme="majorEastAsia"/>
          <w:u w:val="single"/>
        </w:rPr>
        <w:t>Financements des programmes d’investissement d’avenir (PIA), dont programmes et équipements prioritaires de recherche (PEPR)</w:t>
      </w:r>
    </w:p>
    <w:p w14:paraId="351D6437" w14:textId="77777777" w:rsidR="00324A64" w:rsidRPr="00EA2D0F" w:rsidRDefault="00324A64" w:rsidP="00324A64">
      <w:pPr>
        <w:pStyle w:val="Titretableau"/>
      </w:pPr>
      <w:r>
        <w:t> Projets PIA (France 2030) financés par l’ANR sur la période 2010 à 2022 et identifiés par l’agence comme étant en lien avec la recherche pour l’adaptation.</w:t>
      </w:r>
    </w:p>
    <w:tbl>
      <w:tblPr>
        <w:tblW w:w="0" w:type="auto"/>
        <w:tblCellMar>
          <w:left w:w="70" w:type="dxa"/>
          <w:right w:w="70" w:type="dxa"/>
        </w:tblCellMar>
        <w:tblLook w:val="04A0" w:firstRow="1" w:lastRow="0" w:firstColumn="1" w:lastColumn="0" w:noHBand="0" w:noVBand="1"/>
      </w:tblPr>
      <w:tblGrid>
        <w:gridCol w:w="1144"/>
        <w:gridCol w:w="685"/>
        <w:gridCol w:w="1316"/>
        <w:gridCol w:w="1352"/>
        <w:gridCol w:w="1091"/>
        <w:gridCol w:w="1091"/>
        <w:gridCol w:w="723"/>
        <w:gridCol w:w="821"/>
        <w:gridCol w:w="837"/>
      </w:tblGrid>
      <w:tr w:rsidR="00324A64" w:rsidRPr="00EA2D0F" w14:paraId="34F81F11" w14:textId="77777777" w:rsidTr="00C77D2E">
        <w:trPr>
          <w:trHeight w:val="1200"/>
        </w:trPr>
        <w:tc>
          <w:tcPr>
            <w:tcW w:w="1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9A50D8" w14:textId="77777777" w:rsidR="00324A64" w:rsidRPr="00EA2D0F" w:rsidRDefault="00324A64" w:rsidP="00B25AC8">
            <w:pPr>
              <w:spacing w:before="0" w:after="0"/>
              <w:ind w:firstLine="0"/>
              <w:jc w:val="center"/>
              <w:rPr>
                <w:rFonts w:ascii="Calibri" w:hAnsi="Calibri" w:cs="Calibri"/>
                <w:b/>
                <w:bCs/>
                <w:sz w:val="22"/>
                <w:lang w:eastAsia="fr-FR"/>
              </w:rPr>
            </w:pPr>
            <w:r>
              <w:rPr>
                <w:rFonts w:ascii="Calibri" w:hAnsi="Calibri" w:cs="Calibri"/>
                <w:b/>
                <w:bCs/>
                <w:sz w:val="22"/>
                <w:lang w:eastAsia="fr-FR"/>
              </w:rPr>
              <w:t>Code du projet</w:t>
            </w:r>
          </w:p>
        </w:tc>
        <w:tc>
          <w:tcPr>
            <w:tcW w:w="688" w:type="dxa"/>
            <w:tcBorders>
              <w:top w:val="single" w:sz="4" w:space="0" w:color="auto"/>
              <w:left w:val="nil"/>
              <w:bottom w:val="single" w:sz="4" w:space="0" w:color="auto"/>
              <w:right w:val="single" w:sz="4" w:space="0" w:color="auto"/>
            </w:tcBorders>
            <w:shd w:val="clear" w:color="auto" w:fill="auto"/>
            <w:vAlign w:val="center"/>
            <w:hideMark/>
          </w:tcPr>
          <w:p w14:paraId="121C5785"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Action France 2030</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14:paraId="6456561E"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 xml:space="preserve">Acronyme </w:t>
            </w:r>
            <w:r>
              <w:rPr>
                <w:rFonts w:ascii="Calibri" w:hAnsi="Calibri" w:cs="Calibri"/>
                <w:b/>
                <w:bCs/>
                <w:sz w:val="22"/>
                <w:lang w:eastAsia="fr-FR"/>
              </w:rPr>
              <w:t>du p</w:t>
            </w:r>
            <w:r w:rsidRPr="00EA2D0F">
              <w:rPr>
                <w:rFonts w:ascii="Calibri" w:hAnsi="Calibri" w:cs="Calibri"/>
                <w:b/>
                <w:bCs/>
                <w:sz w:val="22"/>
                <w:lang w:eastAsia="fr-FR"/>
              </w:rPr>
              <w:t>rojet</w:t>
            </w:r>
          </w:p>
        </w:tc>
        <w:tc>
          <w:tcPr>
            <w:tcW w:w="1494" w:type="dxa"/>
            <w:tcBorders>
              <w:top w:val="single" w:sz="4" w:space="0" w:color="auto"/>
              <w:left w:val="nil"/>
              <w:bottom w:val="single" w:sz="4" w:space="0" w:color="auto"/>
              <w:right w:val="single" w:sz="4" w:space="0" w:color="auto"/>
            </w:tcBorders>
            <w:shd w:val="clear" w:color="auto" w:fill="auto"/>
            <w:vAlign w:val="center"/>
            <w:hideMark/>
          </w:tcPr>
          <w:p w14:paraId="5F329DB4"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 xml:space="preserve">Établissement </w:t>
            </w:r>
            <w:r>
              <w:rPr>
                <w:rFonts w:ascii="Calibri" w:hAnsi="Calibri" w:cs="Calibri"/>
                <w:b/>
                <w:bCs/>
                <w:sz w:val="22"/>
                <w:lang w:eastAsia="fr-FR"/>
              </w:rPr>
              <w:t>c</w:t>
            </w:r>
            <w:r w:rsidRPr="00EA2D0F">
              <w:rPr>
                <w:rFonts w:ascii="Calibri" w:hAnsi="Calibri" w:cs="Calibri"/>
                <w:b/>
                <w:bCs/>
                <w:sz w:val="22"/>
                <w:lang w:eastAsia="fr-FR"/>
              </w:rPr>
              <w:t>oordinateur</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D8F64E"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Date de début</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6DE81A"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Date de fin</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6DF827"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Budget (M€)</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9D5A752"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Brevets déclarés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809C46" w14:textId="77777777" w:rsidR="00324A64" w:rsidRPr="00EA2D0F" w:rsidRDefault="00324A64" w:rsidP="00B25AC8">
            <w:pPr>
              <w:spacing w:before="0" w:after="0"/>
              <w:ind w:firstLine="0"/>
              <w:jc w:val="center"/>
              <w:rPr>
                <w:rFonts w:ascii="Calibri" w:hAnsi="Calibri" w:cs="Calibri"/>
                <w:b/>
                <w:bCs/>
                <w:sz w:val="22"/>
                <w:lang w:eastAsia="fr-FR"/>
              </w:rPr>
            </w:pPr>
            <w:r w:rsidRPr="00EA2D0F">
              <w:rPr>
                <w:rFonts w:ascii="Calibri" w:hAnsi="Calibri" w:cs="Calibri"/>
                <w:b/>
                <w:bCs/>
                <w:sz w:val="22"/>
                <w:lang w:eastAsia="fr-FR"/>
              </w:rPr>
              <w:t>Période (ajout Cour)</w:t>
            </w:r>
          </w:p>
        </w:tc>
      </w:tr>
      <w:tr w:rsidR="00324A64" w:rsidRPr="00EA2D0F" w14:paraId="14D91E6B"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2DCCAFC3"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2011-EQX-16</w:t>
            </w:r>
          </w:p>
        </w:tc>
        <w:tc>
          <w:tcPr>
            <w:tcW w:w="688" w:type="dxa"/>
            <w:tcBorders>
              <w:top w:val="nil"/>
              <w:left w:val="nil"/>
              <w:bottom w:val="single" w:sz="4" w:space="0" w:color="auto"/>
              <w:right w:val="single" w:sz="4" w:space="0" w:color="auto"/>
            </w:tcBorders>
            <w:shd w:val="clear" w:color="auto" w:fill="auto"/>
            <w:noWrap/>
            <w:vAlign w:val="bottom"/>
            <w:hideMark/>
          </w:tcPr>
          <w:p w14:paraId="207F847D"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EQPX</w:t>
            </w:r>
          </w:p>
        </w:tc>
        <w:tc>
          <w:tcPr>
            <w:tcW w:w="1255" w:type="dxa"/>
            <w:tcBorders>
              <w:top w:val="nil"/>
              <w:left w:val="nil"/>
              <w:bottom w:val="single" w:sz="4" w:space="0" w:color="auto"/>
              <w:right w:val="single" w:sz="4" w:space="0" w:color="auto"/>
            </w:tcBorders>
            <w:shd w:val="clear" w:color="auto" w:fill="auto"/>
            <w:noWrap/>
            <w:vAlign w:val="bottom"/>
            <w:hideMark/>
          </w:tcPr>
          <w:p w14:paraId="570A6F2C"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XYLOFOREST</w:t>
            </w:r>
          </w:p>
        </w:tc>
        <w:tc>
          <w:tcPr>
            <w:tcW w:w="1494" w:type="dxa"/>
            <w:tcBorders>
              <w:top w:val="nil"/>
              <w:left w:val="nil"/>
              <w:bottom w:val="single" w:sz="4" w:space="0" w:color="auto"/>
              <w:right w:val="single" w:sz="4" w:space="0" w:color="auto"/>
            </w:tcBorders>
            <w:shd w:val="clear" w:color="auto" w:fill="auto"/>
            <w:noWrap/>
            <w:vAlign w:val="bottom"/>
            <w:hideMark/>
          </w:tcPr>
          <w:p w14:paraId="4657DAED"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INRAE</w:t>
            </w:r>
          </w:p>
        </w:tc>
        <w:tc>
          <w:tcPr>
            <w:tcW w:w="0" w:type="auto"/>
            <w:tcBorders>
              <w:top w:val="nil"/>
              <w:left w:val="nil"/>
              <w:bottom w:val="single" w:sz="4" w:space="0" w:color="auto"/>
              <w:right w:val="single" w:sz="4" w:space="0" w:color="auto"/>
            </w:tcBorders>
            <w:shd w:val="clear" w:color="auto" w:fill="auto"/>
            <w:noWrap/>
            <w:vAlign w:val="bottom"/>
            <w:hideMark/>
          </w:tcPr>
          <w:p w14:paraId="33769E2D"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22/02/2011</w:t>
            </w:r>
          </w:p>
        </w:tc>
        <w:tc>
          <w:tcPr>
            <w:tcW w:w="0" w:type="auto"/>
            <w:tcBorders>
              <w:top w:val="nil"/>
              <w:left w:val="nil"/>
              <w:bottom w:val="single" w:sz="4" w:space="0" w:color="auto"/>
              <w:right w:val="single" w:sz="4" w:space="0" w:color="auto"/>
            </w:tcBorders>
            <w:shd w:val="clear" w:color="auto" w:fill="auto"/>
            <w:noWrap/>
            <w:vAlign w:val="bottom"/>
            <w:hideMark/>
          </w:tcPr>
          <w:p w14:paraId="689EE349"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31/12/2019</w:t>
            </w:r>
          </w:p>
        </w:tc>
        <w:tc>
          <w:tcPr>
            <w:tcW w:w="0" w:type="auto"/>
            <w:tcBorders>
              <w:top w:val="nil"/>
              <w:left w:val="nil"/>
              <w:bottom w:val="single" w:sz="4" w:space="0" w:color="auto"/>
              <w:right w:val="single" w:sz="4" w:space="0" w:color="auto"/>
            </w:tcBorders>
            <w:shd w:val="clear" w:color="auto" w:fill="auto"/>
            <w:noWrap/>
            <w:vAlign w:val="bottom"/>
            <w:hideMark/>
          </w:tcPr>
          <w:p w14:paraId="3282578A"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10,2</w:t>
            </w:r>
          </w:p>
        </w:tc>
        <w:tc>
          <w:tcPr>
            <w:tcW w:w="0" w:type="auto"/>
            <w:tcBorders>
              <w:top w:val="nil"/>
              <w:left w:val="nil"/>
              <w:bottom w:val="single" w:sz="4" w:space="0" w:color="auto"/>
              <w:right w:val="single" w:sz="4" w:space="0" w:color="auto"/>
            </w:tcBorders>
            <w:shd w:val="clear" w:color="auto" w:fill="auto"/>
            <w:noWrap/>
            <w:vAlign w:val="bottom"/>
            <w:hideMark/>
          </w:tcPr>
          <w:p w14:paraId="4D6511D0"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396939BF"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17FC5C39"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6870B407"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2011-EQX-20</w:t>
            </w:r>
          </w:p>
        </w:tc>
        <w:tc>
          <w:tcPr>
            <w:tcW w:w="688" w:type="dxa"/>
            <w:tcBorders>
              <w:top w:val="nil"/>
              <w:left w:val="nil"/>
              <w:bottom w:val="single" w:sz="4" w:space="0" w:color="auto"/>
              <w:right w:val="single" w:sz="4" w:space="0" w:color="auto"/>
            </w:tcBorders>
            <w:shd w:val="clear" w:color="auto" w:fill="auto"/>
            <w:noWrap/>
            <w:vAlign w:val="bottom"/>
            <w:hideMark/>
          </w:tcPr>
          <w:p w14:paraId="46B7637C"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EQPX</w:t>
            </w:r>
          </w:p>
        </w:tc>
        <w:tc>
          <w:tcPr>
            <w:tcW w:w="1255" w:type="dxa"/>
            <w:tcBorders>
              <w:top w:val="nil"/>
              <w:left w:val="nil"/>
              <w:bottom w:val="single" w:sz="4" w:space="0" w:color="auto"/>
              <w:right w:val="single" w:sz="4" w:space="0" w:color="auto"/>
            </w:tcBorders>
            <w:shd w:val="clear" w:color="auto" w:fill="auto"/>
            <w:noWrap/>
            <w:vAlign w:val="bottom"/>
            <w:hideMark/>
          </w:tcPr>
          <w:p w14:paraId="047057F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GEOSUD</w:t>
            </w:r>
          </w:p>
        </w:tc>
        <w:tc>
          <w:tcPr>
            <w:tcW w:w="1494" w:type="dxa"/>
            <w:tcBorders>
              <w:top w:val="nil"/>
              <w:left w:val="nil"/>
              <w:bottom w:val="single" w:sz="4" w:space="0" w:color="auto"/>
              <w:right w:val="single" w:sz="4" w:space="0" w:color="auto"/>
            </w:tcBorders>
            <w:shd w:val="clear" w:color="auto" w:fill="auto"/>
            <w:noWrap/>
            <w:vAlign w:val="bottom"/>
            <w:hideMark/>
          </w:tcPr>
          <w:p w14:paraId="64EADF30"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INRAE</w:t>
            </w:r>
          </w:p>
        </w:tc>
        <w:tc>
          <w:tcPr>
            <w:tcW w:w="0" w:type="auto"/>
            <w:tcBorders>
              <w:top w:val="nil"/>
              <w:left w:val="nil"/>
              <w:bottom w:val="single" w:sz="4" w:space="0" w:color="auto"/>
              <w:right w:val="single" w:sz="4" w:space="0" w:color="auto"/>
            </w:tcBorders>
            <w:shd w:val="clear" w:color="auto" w:fill="auto"/>
            <w:noWrap/>
            <w:vAlign w:val="bottom"/>
            <w:hideMark/>
          </w:tcPr>
          <w:p w14:paraId="21813371"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22/02/2011</w:t>
            </w:r>
          </w:p>
        </w:tc>
        <w:tc>
          <w:tcPr>
            <w:tcW w:w="0" w:type="auto"/>
            <w:tcBorders>
              <w:top w:val="nil"/>
              <w:left w:val="nil"/>
              <w:bottom w:val="single" w:sz="4" w:space="0" w:color="auto"/>
              <w:right w:val="single" w:sz="4" w:space="0" w:color="auto"/>
            </w:tcBorders>
            <w:shd w:val="clear" w:color="auto" w:fill="auto"/>
            <w:noWrap/>
            <w:vAlign w:val="bottom"/>
            <w:hideMark/>
          </w:tcPr>
          <w:p w14:paraId="749F4B51"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30/09/2020</w:t>
            </w:r>
          </w:p>
        </w:tc>
        <w:tc>
          <w:tcPr>
            <w:tcW w:w="0" w:type="auto"/>
            <w:tcBorders>
              <w:top w:val="nil"/>
              <w:left w:val="nil"/>
              <w:bottom w:val="single" w:sz="4" w:space="0" w:color="auto"/>
              <w:right w:val="single" w:sz="4" w:space="0" w:color="auto"/>
            </w:tcBorders>
            <w:shd w:val="clear" w:color="auto" w:fill="auto"/>
            <w:noWrap/>
            <w:vAlign w:val="bottom"/>
            <w:hideMark/>
          </w:tcPr>
          <w:p w14:paraId="1E195764"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11,5</w:t>
            </w:r>
          </w:p>
        </w:tc>
        <w:tc>
          <w:tcPr>
            <w:tcW w:w="0" w:type="auto"/>
            <w:tcBorders>
              <w:top w:val="nil"/>
              <w:left w:val="nil"/>
              <w:bottom w:val="single" w:sz="4" w:space="0" w:color="auto"/>
              <w:right w:val="single" w:sz="4" w:space="0" w:color="auto"/>
            </w:tcBorders>
            <w:shd w:val="clear" w:color="auto" w:fill="auto"/>
            <w:noWrap/>
            <w:vAlign w:val="bottom"/>
            <w:hideMark/>
          </w:tcPr>
          <w:p w14:paraId="4D3A5FA2"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5373AE8E"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231420D8"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476AB9FE"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2011-LABX-061</w:t>
            </w:r>
          </w:p>
        </w:tc>
        <w:tc>
          <w:tcPr>
            <w:tcW w:w="688" w:type="dxa"/>
            <w:tcBorders>
              <w:top w:val="nil"/>
              <w:left w:val="nil"/>
              <w:bottom w:val="single" w:sz="4" w:space="0" w:color="auto"/>
              <w:right w:val="single" w:sz="4" w:space="0" w:color="auto"/>
            </w:tcBorders>
            <w:shd w:val="clear" w:color="auto" w:fill="auto"/>
            <w:noWrap/>
            <w:vAlign w:val="bottom"/>
            <w:hideMark/>
          </w:tcPr>
          <w:p w14:paraId="646E2375"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705325B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L-IPSL</w:t>
            </w:r>
          </w:p>
        </w:tc>
        <w:tc>
          <w:tcPr>
            <w:tcW w:w="1494" w:type="dxa"/>
            <w:tcBorders>
              <w:top w:val="nil"/>
              <w:left w:val="nil"/>
              <w:bottom w:val="single" w:sz="4" w:space="0" w:color="auto"/>
              <w:right w:val="single" w:sz="4" w:space="0" w:color="auto"/>
            </w:tcBorders>
            <w:shd w:val="clear" w:color="auto" w:fill="auto"/>
            <w:noWrap/>
            <w:vAlign w:val="bottom"/>
            <w:hideMark/>
          </w:tcPr>
          <w:p w14:paraId="40DA614D"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Sorbonne université</w:t>
            </w:r>
          </w:p>
        </w:tc>
        <w:tc>
          <w:tcPr>
            <w:tcW w:w="0" w:type="auto"/>
            <w:tcBorders>
              <w:top w:val="nil"/>
              <w:left w:val="nil"/>
              <w:bottom w:val="single" w:sz="4" w:space="0" w:color="auto"/>
              <w:right w:val="single" w:sz="4" w:space="0" w:color="auto"/>
            </w:tcBorders>
            <w:shd w:val="clear" w:color="auto" w:fill="auto"/>
            <w:noWrap/>
            <w:vAlign w:val="bottom"/>
            <w:hideMark/>
          </w:tcPr>
          <w:p w14:paraId="14D3AB01"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17540BA6"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31/08/2018</w:t>
            </w:r>
          </w:p>
        </w:tc>
        <w:tc>
          <w:tcPr>
            <w:tcW w:w="0" w:type="auto"/>
            <w:tcBorders>
              <w:top w:val="nil"/>
              <w:left w:val="nil"/>
              <w:bottom w:val="single" w:sz="4" w:space="0" w:color="auto"/>
              <w:right w:val="single" w:sz="4" w:space="0" w:color="auto"/>
            </w:tcBorders>
            <w:shd w:val="clear" w:color="auto" w:fill="auto"/>
            <w:noWrap/>
            <w:vAlign w:val="bottom"/>
            <w:hideMark/>
          </w:tcPr>
          <w:p w14:paraId="0E4FA152"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5,4</w:t>
            </w:r>
          </w:p>
        </w:tc>
        <w:tc>
          <w:tcPr>
            <w:tcW w:w="0" w:type="auto"/>
            <w:tcBorders>
              <w:top w:val="nil"/>
              <w:left w:val="nil"/>
              <w:bottom w:val="single" w:sz="4" w:space="0" w:color="auto"/>
              <w:right w:val="single" w:sz="4" w:space="0" w:color="auto"/>
            </w:tcBorders>
            <w:shd w:val="clear" w:color="auto" w:fill="auto"/>
            <w:noWrap/>
            <w:vAlign w:val="bottom"/>
            <w:hideMark/>
          </w:tcPr>
          <w:p w14:paraId="1FEC7B3E"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4E40B2B1"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67B6B89E"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563CD190"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2011-LABX-067</w:t>
            </w:r>
          </w:p>
        </w:tc>
        <w:tc>
          <w:tcPr>
            <w:tcW w:w="688" w:type="dxa"/>
            <w:tcBorders>
              <w:top w:val="nil"/>
              <w:left w:val="nil"/>
              <w:bottom w:val="single" w:sz="4" w:space="0" w:color="auto"/>
              <w:right w:val="single" w:sz="4" w:space="0" w:color="auto"/>
            </w:tcBorders>
            <w:shd w:val="clear" w:color="auto" w:fill="auto"/>
            <w:noWrap/>
            <w:vAlign w:val="bottom"/>
            <w:hideMark/>
          </w:tcPr>
          <w:p w14:paraId="76406C02"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207C7BBE"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LabexMER</w:t>
            </w:r>
          </w:p>
        </w:tc>
        <w:tc>
          <w:tcPr>
            <w:tcW w:w="1494" w:type="dxa"/>
            <w:tcBorders>
              <w:top w:val="nil"/>
              <w:left w:val="nil"/>
              <w:bottom w:val="single" w:sz="4" w:space="0" w:color="auto"/>
              <w:right w:val="single" w:sz="4" w:space="0" w:color="auto"/>
            </w:tcBorders>
            <w:shd w:val="clear" w:color="auto" w:fill="auto"/>
            <w:noWrap/>
            <w:vAlign w:val="bottom"/>
            <w:hideMark/>
          </w:tcPr>
          <w:p w14:paraId="62A3FAF8"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Bretagne Occidentale</w:t>
            </w:r>
          </w:p>
        </w:tc>
        <w:tc>
          <w:tcPr>
            <w:tcW w:w="0" w:type="auto"/>
            <w:tcBorders>
              <w:top w:val="nil"/>
              <w:left w:val="nil"/>
              <w:bottom w:val="single" w:sz="4" w:space="0" w:color="auto"/>
              <w:right w:val="single" w:sz="4" w:space="0" w:color="auto"/>
            </w:tcBorders>
            <w:shd w:val="clear" w:color="auto" w:fill="auto"/>
            <w:noWrap/>
            <w:vAlign w:val="bottom"/>
            <w:hideMark/>
          </w:tcPr>
          <w:p w14:paraId="47DFD8DB"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718F1E73"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15/10/2018</w:t>
            </w:r>
          </w:p>
        </w:tc>
        <w:tc>
          <w:tcPr>
            <w:tcW w:w="0" w:type="auto"/>
            <w:tcBorders>
              <w:top w:val="nil"/>
              <w:left w:val="nil"/>
              <w:bottom w:val="single" w:sz="4" w:space="0" w:color="auto"/>
              <w:right w:val="single" w:sz="4" w:space="0" w:color="auto"/>
            </w:tcBorders>
            <w:shd w:val="clear" w:color="auto" w:fill="auto"/>
            <w:noWrap/>
            <w:vAlign w:val="bottom"/>
            <w:hideMark/>
          </w:tcPr>
          <w:p w14:paraId="1A901A44"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9,14</w:t>
            </w:r>
          </w:p>
        </w:tc>
        <w:tc>
          <w:tcPr>
            <w:tcW w:w="0" w:type="auto"/>
            <w:tcBorders>
              <w:top w:val="nil"/>
              <w:left w:val="nil"/>
              <w:bottom w:val="single" w:sz="4" w:space="0" w:color="auto"/>
              <w:right w:val="single" w:sz="4" w:space="0" w:color="auto"/>
            </w:tcBorders>
            <w:shd w:val="clear" w:color="auto" w:fill="auto"/>
            <w:noWrap/>
            <w:vAlign w:val="bottom"/>
            <w:hideMark/>
          </w:tcPr>
          <w:p w14:paraId="254C592E"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7D05EF35"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3B7AFB66"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67D562AF"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2011-LABX-092</w:t>
            </w:r>
          </w:p>
        </w:tc>
        <w:tc>
          <w:tcPr>
            <w:tcW w:w="688" w:type="dxa"/>
            <w:tcBorders>
              <w:top w:val="nil"/>
              <w:left w:val="nil"/>
              <w:bottom w:val="single" w:sz="4" w:space="0" w:color="auto"/>
              <w:right w:val="single" w:sz="4" w:space="0" w:color="auto"/>
            </w:tcBorders>
            <w:shd w:val="clear" w:color="auto" w:fill="auto"/>
            <w:noWrap/>
            <w:vAlign w:val="bottom"/>
            <w:hideMark/>
          </w:tcPr>
          <w:p w14:paraId="0037B2E3"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73D663BC"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SPS</w:t>
            </w:r>
          </w:p>
        </w:tc>
        <w:tc>
          <w:tcPr>
            <w:tcW w:w="1494" w:type="dxa"/>
            <w:tcBorders>
              <w:top w:val="nil"/>
              <w:left w:val="nil"/>
              <w:bottom w:val="single" w:sz="4" w:space="0" w:color="auto"/>
              <w:right w:val="single" w:sz="4" w:space="0" w:color="auto"/>
            </w:tcBorders>
            <w:shd w:val="clear" w:color="auto" w:fill="auto"/>
            <w:noWrap/>
            <w:vAlign w:val="bottom"/>
            <w:hideMark/>
          </w:tcPr>
          <w:p w14:paraId="02BD2920"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Paris Saclay</w:t>
            </w:r>
          </w:p>
        </w:tc>
        <w:tc>
          <w:tcPr>
            <w:tcW w:w="0" w:type="auto"/>
            <w:tcBorders>
              <w:top w:val="nil"/>
              <w:left w:val="nil"/>
              <w:bottom w:val="single" w:sz="4" w:space="0" w:color="auto"/>
              <w:right w:val="single" w:sz="4" w:space="0" w:color="auto"/>
            </w:tcBorders>
            <w:shd w:val="clear" w:color="auto" w:fill="auto"/>
            <w:noWrap/>
            <w:vAlign w:val="bottom"/>
            <w:hideMark/>
          </w:tcPr>
          <w:p w14:paraId="2DDF5BDC"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6CD3D958"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30/11/2018</w:t>
            </w:r>
          </w:p>
        </w:tc>
        <w:tc>
          <w:tcPr>
            <w:tcW w:w="0" w:type="auto"/>
            <w:tcBorders>
              <w:top w:val="nil"/>
              <w:left w:val="nil"/>
              <w:bottom w:val="single" w:sz="4" w:space="0" w:color="auto"/>
              <w:right w:val="single" w:sz="4" w:space="0" w:color="auto"/>
            </w:tcBorders>
            <w:shd w:val="clear" w:color="auto" w:fill="auto"/>
            <w:noWrap/>
            <w:vAlign w:val="bottom"/>
            <w:hideMark/>
          </w:tcPr>
          <w:p w14:paraId="1645EE52"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10,1</w:t>
            </w:r>
          </w:p>
        </w:tc>
        <w:tc>
          <w:tcPr>
            <w:tcW w:w="0" w:type="auto"/>
            <w:tcBorders>
              <w:top w:val="nil"/>
              <w:left w:val="nil"/>
              <w:bottom w:val="single" w:sz="4" w:space="0" w:color="auto"/>
              <w:right w:val="single" w:sz="4" w:space="0" w:color="auto"/>
            </w:tcBorders>
            <w:shd w:val="clear" w:color="auto" w:fill="auto"/>
            <w:noWrap/>
            <w:vAlign w:val="bottom"/>
            <w:hideMark/>
          </w:tcPr>
          <w:p w14:paraId="13D48241"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w:t>
            </w:r>
          </w:p>
        </w:tc>
        <w:tc>
          <w:tcPr>
            <w:tcW w:w="0" w:type="auto"/>
            <w:tcBorders>
              <w:top w:val="nil"/>
              <w:left w:val="nil"/>
              <w:bottom w:val="single" w:sz="4" w:space="0" w:color="auto"/>
              <w:right w:val="single" w:sz="4" w:space="0" w:color="auto"/>
            </w:tcBorders>
            <w:shd w:val="clear" w:color="auto" w:fill="auto"/>
            <w:noWrap/>
            <w:vAlign w:val="bottom"/>
            <w:hideMark/>
          </w:tcPr>
          <w:p w14:paraId="5A95AF82"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344F4CFC"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780B447A"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2011-LABX-021</w:t>
            </w:r>
          </w:p>
        </w:tc>
        <w:tc>
          <w:tcPr>
            <w:tcW w:w="688" w:type="dxa"/>
            <w:tcBorders>
              <w:top w:val="nil"/>
              <w:left w:val="nil"/>
              <w:bottom w:val="single" w:sz="4" w:space="0" w:color="auto"/>
              <w:right w:val="single" w:sz="4" w:space="0" w:color="auto"/>
            </w:tcBorders>
            <w:shd w:val="clear" w:color="auto" w:fill="auto"/>
            <w:noWrap/>
            <w:vAlign w:val="bottom"/>
            <w:hideMark/>
          </w:tcPr>
          <w:p w14:paraId="634F0703"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69CCE052"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COTE</w:t>
            </w:r>
          </w:p>
        </w:tc>
        <w:tc>
          <w:tcPr>
            <w:tcW w:w="1494" w:type="dxa"/>
            <w:tcBorders>
              <w:top w:val="nil"/>
              <w:left w:val="nil"/>
              <w:bottom w:val="single" w:sz="4" w:space="0" w:color="auto"/>
              <w:right w:val="single" w:sz="4" w:space="0" w:color="auto"/>
            </w:tcBorders>
            <w:shd w:val="clear" w:color="auto" w:fill="auto"/>
            <w:noWrap/>
            <w:vAlign w:val="bottom"/>
            <w:hideMark/>
          </w:tcPr>
          <w:p w14:paraId="73C688A5"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de Bordeaux</w:t>
            </w:r>
          </w:p>
        </w:tc>
        <w:tc>
          <w:tcPr>
            <w:tcW w:w="0" w:type="auto"/>
            <w:tcBorders>
              <w:top w:val="nil"/>
              <w:left w:val="nil"/>
              <w:bottom w:val="single" w:sz="4" w:space="0" w:color="auto"/>
              <w:right w:val="single" w:sz="4" w:space="0" w:color="auto"/>
            </w:tcBorders>
            <w:shd w:val="clear" w:color="auto" w:fill="auto"/>
            <w:noWrap/>
            <w:vAlign w:val="bottom"/>
            <w:hideMark/>
          </w:tcPr>
          <w:p w14:paraId="2275207F"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026C7A0A"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31/12/2019</w:t>
            </w:r>
          </w:p>
        </w:tc>
        <w:tc>
          <w:tcPr>
            <w:tcW w:w="0" w:type="auto"/>
            <w:tcBorders>
              <w:top w:val="nil"/>
              <w:left w:val="nil"/>
              <w:bottom w:val="single" w:sz="4" w:space="0" w:color="auto"/>
              <w:right w:val="single" w:sz="4" w:space="0" w:color="auto"/>
            </w:tcBorders>
            <w:shd w:val="clear" w:color="auto" w:fill="auto"/>
            <w:noWrap/>
            <w:vAlign w:val="bottom"/>
            <w:hideMark/>
          </w:tcPr>
          <w:p w14:paraId="16927334"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11</w:t>
            </w:r>
          </w:p>
        </w:tc>
        <w:tc>
          <w:tcPr>
            <w:tcW w:w="0" w:type="auto"/>
            <w:tcBorders>
              <w:top w:val="nil"/>
              <w:left w:val="nil"/>
              <w:bottom w:val="single" w:sz="4" w:space="0" w:color="auto"/>
              <w:right w:val="single" w:sz="4" w:space="0" w:color="auto"/>
            </w:tcBorders>
            <w:shd w:val="clear" w:color="auto" w:fill="auto"/>
            <w:noWrap/>
            <w:vAlign w:val="bottom"/>
            <w:hideMark/>
          </w:tcPr>
          <w:p w14:paraId="0B5A53C2"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w:t>
            </w:r>
          </w:p>
        </w:tc>
        <w:tc>
          <w:tcPr>
            <w:tcW w:w="0" w:type="auto"/>
            <w:tcBorders>
              <w:top w:val="nil"/>
              <w:left w:val="nil"/>
              <w:bottom w:val="single" w:sz="4" w:space="0" w:color="auto"/>
              <w:right w:val="single" w:sz="4" w:space="0" w:color="auto"/>
            </w:tcBorders>
            <w:shd w:val="clear" w:color="auto" w:fill="auto"/>
            <w:noWrap/>
            <w:vAlign w:val="bottom"/>
            <w:hideMark/>
          </w:tcPr>
          <w:p w14:paraId="234BF6FF"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12DCFF35"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614929CD"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2011-LABX-020</w:t>
            </w:r>
          </w:p>
        </w:tc>
        <w:tc>
          <w:tcPr>
            <w:tcW w:w="688" w:type="dxa"/>
            <w:tcBorders>
              <w:top w:val="nil"/>
              <w:left w:val="nil"/>
              <w:bottom w:val="single" w:sz="4" w:space="0" w:color="auto"/>
              <w:right w:val="single" w:sz="4" w:space="0" w:color="auto"/>
            </w:tcBorders>
            <w:shd w:val="clear" w:color="auto" w:fill="auto"/>
            <w:noWrap/>
            <w:vAlign w:val="bottom"/>
            <w:hideMark/>
          </w:tcPr>
          <w:p w14:paraId="4ED57789"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6E57A958"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CORAIL</w:t>
            </w:r>
          </w:p>
        </w:tc>
        <w:tc>
          <w:tcPr>
            <w:tcW w:w="1494" w:type="dxa"/>
            <w:tcBorders>
              <w:top w:val="nil"/>
              <w:left w:val="nil"/>
              <w:bottom w:val="single" w:sz="4" w:space="0" w:color="auto"/>
              <w:right w:val="single" w:sz="4" w:space="0" w:color="auto"/>
            </w:tcBorders>
            <w:shd w:val="clear" w:color="auto" w:fill="auto"/>
            <w:noWrap/>
            <w:vAlign w:val="bottom"/>
            <w:hideMark/>
          </w:tcPr>
          <w:p w14:paraId="3408885C"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PSL</w:t>
            </w:r>
          </w:p>
        </w:tc>
        <w:tc>
          <w:tcPr>
            <w:tcW w:w="0" w:type="auto"/>
            <w:tcBorders>
              <w:top w:val="nil"/>
              <w:left w:val="nil"/>
              <w:bottom w:val="single" w:sz="4" w:space="0" w:color="auto"/>
              <w:right w:val="single" w:sz="4" w:space="0" w:color="auto"/>
            </w:tcBorders>
            <w:shd w:val="clear" w:color="auto" w:fill="auto"/>
            <w:noWrap/>
            <w:vAlign w:val="bottom"/>
            <w:hideMark/>
          </w:tcPr>
          <w:p w14:paraId="466400C5"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057E6D1F"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31/12/2020</w:t>
            </w:r>
          </w:p>
        </w:tc>
        <w:tc>
          <w:tcPr>
            <w:tcW w:w="0" w:type="auto"/>
            <w:tcBorders>
              <w:top w:val="nil"/>
              <w:left w:val="nil"/>
              <w:bottom w:val="single" w:sz="4" w:space="0" w:color="auto"/>
              <w:right w:val="single" w:sz="4" w:space="0" w:color="auto"/>
            </w:tcBorders>
            <w:shd w:val="clear" w:color="auto" w:fill="auto"/>
            <w:noWrap/>
            <w:vAlign w:val="bottom"/>
            <w:hideMark/>
          </w:tcPr>
          <w:p w14:paraId="5E2CF2C9"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6,8</w:t>
            </w:r>
          </w:p>
        </w:tc>
        <w:tc>
          <w:tcPr>
            <w:tcW w:w="0" w:type="auto"/>
            <w:tcBorders>
              <w:top w:val="nil"/>
              <w:left w:val="nil"/>
              <w:bottom w:val="single" w:sz="4" w:space="0" w:color="auto"/>
              <w:right w:val="single" w:sz="4" w:space="0" w:color="auto"/>
            </w:tcBorders>
            <w:shd w:val="clear" w:color="auto" w:fill="auto"/>
            <w:noWrap/>
            <w:vAlign w:val="bottom"/>
            <w:hideMark/>
          </w:tcPr>
          <w:p w14:paraId="7D6AEF85"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4</w:t>
            </w:r>
          </w:p>
        </w:tc>
        <w:tc>
          <w:tcPr>
            <w:tcW w:w="0" w:type="auto"/>
            <w:tcBorders>
              <w:top w:val="nil"/>
              <w:left w:val="nil"/>
              <w:bottom w:val="single" w:sz="4" w:space="0" w:color="auto"/>
              <w:right w:val="single" w:sz="4" w:space="0" w:color="auto"/>
            </w:tcBorders>
            <w:shd w:val="clear" w:color="auto" w:fill="auto"/>
            <w:noWrap/>
            <w:vAlign w:val="bottom"/>
            <w:hideMark/>
          </w:tcPr>
          <w:p w14:paraId="0A73ADBE"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4CA9D7D2"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43375C09"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2011-LABX-041</w:t>
            </w:r>
          </w:p>
        </w:tc>
        <w:tc>
          <w:tcPr>
            <w:tcW w:w="688" w:type="dxa"/>
            <w:tcBorders>
              <w:top w:val="nil"/>
              <w:left w:val="nil"/>
              <w:bottom w:val="single" w:sz="4" w:space="0" w:color="auto"/>
              <w:right w:val="single" w:sz="4" w:space="0" w:color="auto"/>
            </w:tcBorders>
            <w:shd w:val="clear" w:color="auto" w:fill="auto"/>
            <w:noWrap/>
            <w:vAlign w:val="bottom"/>
            <w:hideMark/>
          </w:tcPr>
          <w:p w14:paraId="3DD29F8F"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54400611"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IDGM+</w:t>
            </w:r>
          </w:p>
        </w:tc>
        <w:tc>
          <w:tcPr>
            <w:tcW w:w="1494" w:type="dxa"/>
            <w:tcBorders>
              <w:top w:val="nil"/>
              <w:left w:val="nil"/>
              <w:bottom w:val="single" w:sz="4" w:space="0" w:color="auto"/>
              <w:right w:val="single" w:sz="4" w:space="0" w:color="auto"/>
            </w:tcBorders>
            <w:shd w:val="clear" w:color="auto" w:fill="auto"/>
            <w:noWrap/>
            <w:vAlign w:val="bottom"/>
            <w:hideMark/>
          </w:tcPr>
          <w:p w14:paraId="3735A13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Clermont Auvergne</w:t>
            </w:r>
          </w:p>
        </w:tc>
        <w:tc>
          <w:tcPr>
            <w:tcW w:w="0" w:type="auto"/>
            <w:tcBorders>
              <w:top w:val="nil"/>
              <w:left w:val="nil"/>
              <w:bottom w:val="single" w:sz="4" w:space="0" w:color="auto"/>
              <w:right w:val="single" w:sz="4" w:space="0" w:color="auto"/>
            </w:tcBorders>
            <w:shd w:val="clear" w:color="auto" w:fill="auto"/>
            <w:noWrap/>
            <w:vAlign w:val="bottom"/>
            <w:hideMark/>
          </w:tcPr>
          <w:p w14:paraId="1F76185E"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109184C6"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31/03/2022</w:t>
            </w:r>
          </w:p>
        </w:tc>
        <w:tc>
          <w:tcPr>
            <w:tcW w:w="0" w:type="auto"/>
            <w:tcBorders>
              <w:top w:val="nil"/>
              <w:left w:val="nil"/>
              <w:bottom w:val="single" w:sz="4" w:space="0" w:color="auto"/>
              <w:right w:val="single" w:sz="4" w:space="0" w:color="auto"/>
            </w:tcBorders>
            <w:shd w:val="clear" w:color="auto" w:fill="auto"/>
            <w:noWrap/>
            <w:vAlign w:val="bottom"/>
            <w:hideMark/>
          </w:tcPr>
          <w:p w14:paraId="399F635E"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11,7</w:t>
            </w:r>
          </w:p>
        </w:tc>
        <w:tc>
          <w:tcPr>
            <w:tcW w:w="0" w:type="auto"/>
            <w:tcBorders>
              <w:top w:val="nil"/>
              <w:left w:val="nil"/>
              <w:bottom w:val="single" w:sz="4" w:space="0" w:color="auto"/>
              <w:right w:val="single" w:sz="4" w:space="0" w:color="auto"/>
            </w:tcBorders>
            <w:shd w:val="clear" w:color="auto" w:fill="auto"/>
            <w:noWrap/>
            <w:vAlign w:val="bottom"/>
            <w:hideMark/>
          </w:tcPr>
          <w:p w14:paraId="32B3D2E8"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37AEEC3E"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4EEF457C"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2AC9703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2011-LABX-002</w:t>
            </w:r>
          </w:p>
        </w:tc>
        <w:tc>
          <w:tcPr>
            <w:tcW w:w="688" w:type="dxa"/>
            <w:tcBorders>
              <w:top w:val="nil"/>
              <w:left w:val="nil"/>
              <w:bottom w:val="single" w:sz="4" w:space="0" w:color="auto"/>
              <w:right w:val="single" w:sz="4" w:space="0" w:color="auto"/>
            </w:tcBorders>
            <w:shd w:val="clear" w:color="auto" w:fill="auto"/>
            <w:noWrap/>
            <w:vAlign w:val="bottom"/>
            <w:hideMark/>
          </w:tcPr>
          <w:p w14:paraId="0CE2375C"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5D728E4D"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AGRO</w:t>
            </w:r>
          </w:p>
        </w:tc>
        <w:tc>
          <w:tcPr>
            <w:tcW w:w="1494" w:type="dxa"/>
            <w:tcBorders>
              <w:top w:val="nil"/>
              <w:left w:val="nil"/>
              <w:bottom w:val="single" w:sz="4" w:space="0" w:color="auto"/>
              <w:right w:val="single" w:sz="4" w:space="0" w:color="auto"/>
            </w:tcBorders>
            <w:shd w:val="clear" w:color="auto" w:fill="auto"/>
            <w:noWrap/>
            <w:vAlign w:val="bottom"/>
            <w:hideMark/>
          </w:tcPr>
          <w:p w14:paraId="0EC9FD90"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de Montpellier</w:t>
            </w:r>
          </w:p>
        </w:tc>
        <w:tc>
          <w:tcPr>
            <w:tcW w:w="0" w:type="auto"/>
            <w:tcBorders>
              <w:top w:val="nil"/>
              <w:left w:val="nil"/>
              <w:bottom w:val="single" w:sz="4" w:space="0" w:color="auto"/>
              <w:right w:val="single" w:sz="4" w:space="0" w:color="auto"/>
            </w:tcBorders>
            <w:shd w:val="clear" w:color="auto" w:fill="auto"/>
            <w:noWrap/>
            <w:vAlign w:val="bottom"/>
            <w:hideMark/>
          </w:tcPr>
          <w:p w14:paraId="76112BC4"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0BC8EFB9"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31/12/2022</w:t>
            </w:r>
          </w:p>
        </w:tc>
        <w:tc>
          <w:tcPr>
            <w:tcW w:w="0" w:type="auto"/>
            <w:tcBorders>
              <w:top w:val="nil"/>
              <w:left w:val="nil"/>
              <w:bottom w:val="single" w:sz="4" w:space="0" w:color="auto"/>
              <w:right w:val="single" w:sz="4" w:space="0" w:color="auto"/>
            </w:tcBorders>
            <w:shd w:val="clear" w:color="auto" w:fill="auto"/>
            <w:noWrap/>
            <w:vAlign w:val="bottom"/>
            <w:hideMark/>
          </w:tcPr>
          <w:p w14:paraId="36A146E0"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28,6</w:t>
            </w:r>
          </w:p>
        </w:tc>
        <w:tc>
          <w:tcPr>
            <w:tcW w:w="0" w:type="auto"/>
            <w:tcBorders>
              <w:top w:val="nil"/>
              <w:left w:val="nil"/>
              <w:bottom w:val="single" w:sz="4" w:space="0" w:color="auto"/>
              <w:right w:val="single" w:sz="4" w:space="0" w:color="auto"/>
            </w:tcBorders>
            <w:shd w:val="clear" w:color="auto" w:fill="auto"/>
            <w:noWrap/>
            <w:vAlign w:val="bottom"/>
            <w:hideMark/>
          </w:tcPr>
          <w:p w14:paraId="6428E1D4"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6</w:t>
            </w:r>
          </w:p>
        </w:tc>
        <w:tc>
          <w:tcPr>
            <w:tcW w:w="0" w:type="auto"/>
            <w:tcBorders>
              <w:top w:val="nil"/>
              <w:left w:val="nil"/>
              <w:bottom w:val="single" w:sz="4" w:space="0" w:color="auto"/>
              <w:right w:val="single" w:sz="4" w:space="0" w:color="auto"/>
            </w:tcBorders>
            <w:shd w:val="clear" w:color="auto" w:fill="auto"/>
            <w:noWrap/>
            <w:vAlign w:val="bottom"/>
            <w:hideMark/>
          </w:tcPr>
          <w:p w14:paraId="0F6C75C8"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26696AF3"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4C4978FE"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2011-LABX-016</w:t>
            </w:r>
          </w:p>
        </w:tc>
        <w:tc>
          <w:tcPr>
            <w:tcW w:w="688" w:type="dxa"/>
            <w:tcBorders>
              <w:top w:val="nil"/>
              <w:left w:val="nil"/>
              <w:bottom w:val="single" w:sz="4" w:space="0" w:color="auto"/>
              <w:right w:val="single" w:sz="4" w:space="0" w:color="auto"/>
            </w:tcBorders>
            <w:shd w:val="clear" w:color="auto" w:fill="auto"/>
            <w:noWrap/>
            <w:vAlign w:val="bottom"/>
            <w:hideMark/>
          </w:tcPr>
          <w:p w14:paraId="39B38509"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37037F2A"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CeMEB</w:t>
            </w:r>
          </w:p>
        </w:tc>
        <w:tc>
          <w:tcPr>
            <w:tcW w:w="1494" w:type="dxa"/>
            <w:tcBorders>
              <w:top w:val="nil"/>
              <w:left w:val="nil"/>
              <w:bottom w:val="single" w:sz="4" w:space="0" w:color="auto"/>
              <w:right w:val="single" w:sz="4" w:space="0" w:color="auto"/>
            </w:tcBorders>
            <w:shd w:val="clear" w:color="auto" w:fill="auto"/>
            <w:noWrap/>
            <w:vAlign w:val="bottom"/>
            <w:hideMark/>
          </w:tcPr>
          <w:p w14:paraId="1C324062"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de Montpellier</w:t>
            </w:r>
          </w:p>
        </w:tc>
        <w:tc>
          <w:tcPr>
            <w:tcW w:w="0" w:type="auto"/>
            <w:tcBorders>
              <w:top w:val="nil"/>
              <w:left w:val="nil"/>
              <w:bottom w:val="single" w:sz="4" w:space="0" w:color="auto"/>
              <w:right w:val="single" w:sz="4" w:space="0" w:color="auto"/>
            </w:tcBorders>
            <w:shd w:val="clear" w:color="auto" w:fill="auto"/>
            <w:noWrap/>
            <w:vAlign w:val="bottom"/>
            <w:hideMark/>
          </w:tcPr>
          <w:p w14:paraId="4EDCA613"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01DC02C5"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31/12/2022</w:t>
            </w:r>
          </w:p>
        </w:tc>
        <w:tc>
          <w:tcPr>
            <w:tcW w:w="0" w:type="auto"/>
            <w:tcBorders>
              <w:top w:val="nil"/>
              <w:left w:val="nil"/>
              <w:bottom w:val="single" w:sz="4" w:space="0" w:color="auto"/>
              <w:right w:val="single" w:sz="4" w:space="0" w:color="auto"/>
            </w:tcBorders>
            <w:shd w:val="clear" w:color="auto" w:fill="auto"/>
            <w:noWrap/>
            <w:vAlign w:val="bottom"/>
            <w:hideMark/>
          </w:tcPr>
          <w:p w14:paraId="7062E733"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7,2</w:t>
            </w:r>
          </w:p>
        </w:tc>
        <w:tc>
          <w:tcPr>
            <w:tcW w:w="0" w:type="auto"/>
            <w:tcBorders>
              <w:top w:val="nil"/>
              <w:left w:val="nil"/>
              <w:bottom w:val="single" w:sz="4" w:space="0" w:color="auto"/>
              <w:right w:val="single" w:sz="4" w:space="0" w:color="auto"/>
            </w:tcBorders>
            <w:shd w:val="clear" w:color="auto" w:fill="auto"/>
            <w:noWrap/>
            <w:vAlign w:val="bottom"/>
            <w:hideMark/>
          </w:tcPr>
          <w:p w14:paraId="1D4C931B"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1DB43BDE"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14FCB247"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3538A1B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2011-LABX-028</w:t>
            </w:r>
          </w:p>
        </w:tc>
        <w:tc>
          <w:tcPr>
            <w:tcW w:w="688" w:type="dxa"/>
            <w:tcBorders>
              <w:top w:val="nil"/>
              <w:left w:val="nil"/>
              <w:bottom w:val="single" w:sz="4" w:space="0" w:color="auto"/>
              <w:right w:val="single" w:sz="4" w:space="0" w:color="auto"/>
            </w:tcBorders>
            <w:shd w:val="clear" w:color="auto" w:fill="auto"/>
            <w:noWrap/>
            <w:vAlign w:val="bottom"/>
            <w:hideMark/>
          </w:tcPr>
          <w:p w14:paraId="58A03D6C"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16613992"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Entreprendre</w:t>
            </w:r>
          </w:p>
        </w:tc>
        <w:tc>
          <w:tcPr>
            <w:tcW w:w="1494" w:type="dxa"/>
            <w:tcBorders>
              <w:top w:val="nil"/>
              <w:left w:val="nil"/>
              <w:bottom w:val="single" w:sz="4" w:space="0" w:color="auto"/>
              <w:right w:val="single" w:sz="4" w:space="0" w:color="auto"/>
            </w:tcBorders>
            <w:shd w:val="clear" w:color="auto" w:fill="auto"/>
            <w:noWrap/>
            <w:vAlign w:val="bottom"/>
            <w:hideMark/>
          </w:tcPr>
          <w:p w14:paraId="2AEA47A5"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de Montpellier</w:t>
            </w:r>
          </w:p>
        </w:tc>
        <w:tc>
          <w:tcPr>
            <w:tcW w:w="0" w:type="auto"/>
            <w:tcBorders>
              <w:top w:val="nil"/>
              <w:left w:val="nil"/>
              <w:bottom w:val="single" w:sz="4" w:space="0" w:color="auto"/>
              <w:right w:val="single" w:sz="4" w:space="0" w:color="auto"/>
            </w:tcBorders>
            <w:shd w:val="clear" w:color="auto" w:fill="auto"/>
            <w:noWrap/>
            <w:vAlign w:val="bottom"/>
            <w:hideMark/>
          </w:tcPr>
          <w:p w14:paraId="78CB41DB"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28AA6240"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31/12/2022</w:t>
            </w:r>
          </w:p>
        </w:tc>
        <w:tc>
          <w:tcPr>
            <w:tcW w:w="0" w:type="auto"/>
            <w:tcBorders>
              <w:top w:val="nil"/>
              <w:left w:val="nil"/>
              <w:bottom w:val="single" w:sz="4" w:space="0" w:color="auto"/>
              <w:right w:val="single" w:sz="4" w:space="0" w:color="auto"/>
            </w:tcBorders>
            <w:shd w:val="clear" w:color="auto" w:fill="auto"/>
            <w:noWrap/>
            <w:vAlign w:val="bottom"/>
            <w:hideMark/>
          </w:tcPr>
          <w:p w14:paraId="2B87F61C"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8,6</w:t>
            </w:r>
          </w:p>
        </w:tc>
        <w:tc>
          <w:tcPr>
            <w:tcW w:w="0" w:type="auto"/>
            <w:tcBorders>
              <w:top w:val="nil"/>
              <w:left w:val="nil"/>
              <w:bottom w:val="single" w:sz="4" w:space="0" w:color="auto"/>
              <w:right w:val="single" w:sz="4" w:space="0" w:color="auto"/>
            </w:tcBorders>
            <w:shd w:val="clear" w:color="auto" w:fill="auto"/>
            <w:noWrap/>
            <w:vAlign w:val="bottom"/>
            <w:hideMark/>
          </w:tcPr>
          <w:p w14:paraId="19F9673E"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0FFA6B8D"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155458A4"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3D500E28"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2011-LABX-096</w:t>
            </w:r>
          </w:p>
        </w:tc>
        <w:tc>
          <w:tcPr>
            <w:tcW w:w="688" w:type="dxa"/>
            <w:tcBorders>
              <w:top w:val="nil"/>
              <w:left w:val="nil"/>
              <w:bottom w:val="single" w:sz="4" w:space="0" w:color="auto"/>
              <w:right w:val="single" w:sz="4" w:space="0" w:color="auto"/>
            </w:tcBorders>
            <w:shd w:val="clear" w:color="auto" w:fill="auto"/>
            <w:noWrap/>
            <w:vAlign w:val="bottom"/>
            <w:hideMark/>
          </w:tcPr>
          <w:p w14:paraId="433BEF7F"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6D5FA23E"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TULIP</w:t>
            </w:r>
          </w:p>
        </w:tc>
        <w:tc>
          <w:tcPr>
            <w:tcW w:w="1494" w:type="dxa"/>
            <w:tcBorders>
              <w:top w:val="nil"/>
              <w:left w:val="nil"/>
              <w:bottom w:val="single" w:sz="4" w:space="0" w:color="auto"/>
              <w:right w:val="single" w:sz="4" w:space="0" w:color="auto"/>
            </w:tcBorders>
            <w:shd w:val="clear" w:color="auto" w:fill="auto"/>
            <w:noWrap/>
            <w:vAlign w:val="bottom"/>
            <w:hideMark/>
          </w:tcPr>
          <w:p w14:paraId="08E00CD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de Toulouse</w:t>
            </w:r>
          </w:p>
        </w:tc>
        <w:tc>
          <w:tcPr>
            <w:tcW w:w="0" w:type="auto"/>
            <w:tcBorders>
              <w:top w:val="nil"/>
              <w:left w:val="nil"/>
              <w:bottom w:val="single" w:sz="4" w:space="0" w:color="auto"/>
              <w:right w:val="single" w:sz="4" w:space="0" w:color="auto"/>
            </w:tcBorders>
            <w:shd w:val="clear" w:color="auto" w:fill="auto"/>
            <w:noWrap/>
            <w:vAlign w:val="bottom"/>
            <w:hideMark/>
          </w:tcPr>
          <w:p w14:paraId="1658CE80"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67F6C1CA"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31/12/2024</w:t>
            </w:r>
          </w:p>
        </w:tc>
        <w:tc>
          <w:tcPr>
            <w:tcW w:w="0" w:type="auto"/>
            <w:tcBorders>
              <w:top w:val="nil"/>
              <w:left w:val="nil"/>
              <w:bottom w:val="single" w:sz="4" w:space="0" w:color="auto"/>
              <w:right w:val="single" w:sz="4" w:space="0" w:color="auto"/>
            </w:tcBorders>
            <w:shd w:val="clear" w:color="auto" w:fill="auto"/>
            <w:noWrap/>
            <w:vAlign w:val="bottom"/>
            <w:hideMark/>
          </w:tcPr>
          <w:p w14:paraId="0075528E"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13,4</w:t>
            </w:r>
          </w:p>
        </w:tc>
        <w:tc>
          <w:tcPr>
            <w:tcW w:w="0" w:type="auto"/>
            <w:tcBorders>
              <w:top w:val="nil"/>
              <w:left w:val="nil"/>
              <w:bottom w:val="single" w:sz="4" w:space="0" w:color="auto"/>
              <w:right w:val="single" w:sz="4" w:space="0" w:color="auto"/>
            </w:tcBorders>
            <w:shd w:val="clear" w:color="auto" w:fill="auto"/>
            <w:noWrap/>
            <w:vAlign w:val="bottom"/>
            <w:hideMark/>
          </w:tcPr>
          <w:p w14:paraId="2FECC1D7"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21</w:t>
            </w:r>
          </w:p>
        </w:tc>
        <w:tc>
          <w:tcPr>
            <w:tcW w:w="0" w:type="auto"/>
            <w:tcBorders>
              <w:top w:val="nil"/>
              <w:left w:val="nil"/>
              <w:bottom w:val="single" w:sz="4" w:space="0" w:color="auto"/>
              <w:right w:val="single" w:sz="4" w:space="0" w:color="auto"/>
            </w:tcBorders>
            <w:shd w:val="clear" w:color="auto" w:fill="auto"/>
            <w:noWrap/>
            <w:vAlign w:val="bottom"/>
            <w:hideMark/>
          </w:tcPr>
          <w:p w14:paraId="28D52E0C"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377AAA81"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5FD95857"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2011-LABX-013</w:t>
            </w:r>
          </w:p>
        </w:tc>
        <w:tc>
          <w:tcPr>
            <w:tcW w:w="688" w:type="dxa"/>
            <w:tcBorders>
              <w:top w:val="nil"/>
              <w:left w:val="nil"/>
              <w:bottom w:val="single" w:sz="4" w:space="0" w:color="auto"/>
              <w:right w:val="single" w:sz="4" w:space="0" w:color="auto"/>
            </w:tcBorders>
            <w:shd w:val="clear" w:color="auto" w:fill="auto"/>
            <w:noWrap/>
            <w:vAlign w:val="bottom"/>
            <w:hideMark/>
          </w:tcPr>
          <w:p w14:paraId="301EF21D"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2E3AFEEE"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CEBA</w:t>
            </w:r>
          </w:p>
        </w:tc>
        <w:tc>
          <w:tcPr>
            <w:tcW w:w="1494" w:type="dxa"/>
            <w:tcBorders>
              <w:top w:val="nil"/>
              <w:left w:val="nil"/>
              <w:bottom w:val="single" w:sz="4" w:space="0" w:color="auto"/>
              <w:right w:val="single" w:sz="4" w:space="0" w:color="auto"/>
            </w:tcBorders>
            <w:shd w:val="clear" w:color="auto" w:fill="auto"/>
            <w:noWrap/>
            <w:vAlign w:val="bottom"/>
            <w:hideMark/>
          </w:tcPr>
          <w:p w14:paraId="2852B360"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CNRS</w:t>
            </w:r>
          </w:p>
        </w:tc>
        <w:tc>
          <w:tcPr>
            <w:tcW w:w="0" w:type="auto"/>
            <w:tcBorders>
              <w:top w:val="nil"/>
              <w:left w:val="nil"/>
              <w:bottom w:val="single" w:sz="4" w:space="0" w:color="auto"/>
              <w:right w:val="single" w:sz="4" w:space="0" w:color="auto"/>
            </w:tcBorders>
            <w:shd w:val="clear" w:color="auto" w:fill="auto"/>
            <w:noWrap/>
            <w:vAlign w:val="bottom"/>
            <w:hideMark/>
          </w:tcPr>
          <w:p w14:paraId="07B82539"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13/04/2011</w:t>
            </w:r>
          </w:p>
        </w:tc>
        <w:tc>
          <w:tcPr>
            <w:tcW w:w="0" w:type="auto"/>
            <w:tcBorders>
              <w:top w:val="nil"/>
              <w:left w:val="nil"/>
              <w:bottom w:val="single" w:sz="4" w:space="0" w:color="auto"/>
              <w:right w:val="single" w:sz="4" w:space="0" w:color="auto"/>
            </w:tcBorders>
            <w:shd w:val="clear" w:color="auto" w:fill="auto"/>
            <w:noWrap/>
            <w:vAlign w:val="bottom"/>
            <w:hideMark/>
          </w:tcPr>
          <w:p w14:paraId="3E78A9CA"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31/12/2024</w:t>
            </w:r>
          </w:p>
        </w:tc>
        <w:tc>
          <w:tcPr>
            <w:tcW w:w="0" w:type="auto"/>
            <w:tcBorders>
              <w:top w:val="nil"/>
              <w:left w:val="nil"/>
              <w:bottom w:val="single" w:sz="4" w:space="0" w:color="auto"/>
              <w:right w:val="single" w:sz="4" w:space="0" w:color="auto"/>
            </w:tcBorders>
            <w:shd w:val="clear" w:color="auto" w:fill="auto"/>
            <w:noWrap/>
            <w:vAlign w:val="bottom"/>
            <w:hideMark/>
          </w:tcPr>
          <w:p w14:paraId="3616790F"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17,8</w:t>
            </w:r>
          </w:p>
        </w:tc>
        <w:tc>
          <w:tcPr>
            <w:tcW w:w="0" w:type="auto"/>
            <w:tcBorders>
              <w:top w:val="nil"/>
              <w:left w:val="nil"/>
              <w:bottom w:val="single" w:sz="4" w:space="0" w:color="auto"/>
              <w:right w:val="single" w:sz="4" w:space="0" w:color="auto"/>
            </w:tcBorders>
            <w:shd w:val="clear" w:color="auto" w:fill="auto"/>
            <w:noWrap/>
            <w:vAlign w:val="bottom"/>
            <w:hideMark/>
          </w:tcPr>
          <w:p w14:paraId="172F03A7"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2</w:t>
            </w:r>
          </w:p>
        </w:tc>
        <w:tc>
          <w:tcPr>
            <w:tcW w:w="0" w:type="auto"/>
            <w:tcBorders>
              <w:top w:val="nil"/>
              <w:left w:val="nil"/>
              <w:bottom w:val="single" w:sz="4" w:space="0" w:color="auto"/>
              <w:right w:val="single" w:sz="4" w:space="0" w:color="auto"/>
            </w:tcBorders>
            <w:shd w:val="clear" w:color="auto" w:fill="auto"/>
            <w:noWrap/>
            <w:vAlign w:val="bottom"/>
            <w:hideMark/>
          </w:tcPr>
          <w:p w14:paraId="01ABD0EC"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0B4C5CAF"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77EBD640"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2011-BIO-015</w:t>
            </w:r>
          </w:p>
        </w:tc>
        <w:tc>
          <w:tcPr>
            <w:tcW w:w="688" w:type="dxa"/>
            <w:tcBorders>
              <w:top w:val="nil"/>
              <w:left w:val="nil"/>
              <w:bottom w:val="single" w:sz="4" w:space="0" w:color="auto"/>
              <w:right w:val="single" w:sz="4" w:space="0" w:color="auto"/>
            </w:tcBorders>
            <w:shd w:val="clear" w:color="auto" w:fill="auto"/>
            <w:noWrap/>
            <w:vAlign w:val="bottom"/>
            <w:hideMark/>
          </w:tcPr>
          <w:p w14:paraId="2D875FB8"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BTBR</w:t>
            </w:r>
          </w:p>
        </w:tc>
        <w:tc>
          <w:tcPr>
            <w:tcW w:w="1255" w:type="dxa"/>
            <w:tcBorders>
              <w:top w:val="nil"/>
              <w:left w:val="nil"/>
              <w:bottom w:val="single" w:sz="4" w:space="0" w:color="auto"/>
              <w:right w:val="single" w:sz="4" w:space="0" w:color="auto"/>
            </w:tcBorders>
            <w:shd w:val="clear" w:color="auto" w:fill="auto"/>
            <w:noWrap/>
            <w:vAlign w:val="bottom"/>
            <w:hideMark/>
          </w:tcPr>
          <w:p w14:paraId="3D6FE318"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BREEDWHEAT </w:t>
            </w:r>
          </w:p>
        </w:tc>
        <w:tc>
          <w:tcPr>
            <w:tcW w:w="1494" w:type="dxa"/>
            <w:tcBorders>
              <w:top w:val="nil"/>
              <w:left w:val="nil"/>
              <w:bottom w:val="single" w:sz="4" w:space="0" w:color="auto"/>
              <w:right w:val="single" w:sz="4" w:space="0" w:color="auto"/>
            </w:tcBorders>
            <w:shd w:val="clear" w:color="auto" w:fill="auto"/>
            <w:noWrap/>
            <w:vAlign w:val="bottom"/>
            <w:hideMark/>
          </w:tcPr>
          <w:p w14:paraId="0867F3FA"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INRAE</w:t>
            </w:r>
          </w:p>
        </w:tc>
        <w:tc>
          <w:tcPr>
            <w:tcW w:w="0" w:type="auto"/>
            <w:tcBorders>
              <w:top w:val="nil"/>
              <w:left w:val="nil"/>
              <w:bottom w:val="single" w:sz="4" w:space="0" w:color="auto"/>
              <w:right w:val="single" w:sz="4" w:space="0" w:color="auto"/>
            </w:tcBorders>
            <w:shd w:val="clear" w:color="auto" w:fill="auto"/>
            <w:noWrap/>
            <w:vAlign w:val="bottom"/>
            <w:hideMark/>
          </w:tcPr>
          <w:p w14:paraId="170772A6"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01/09/2011</w:t>
            </w:r>
          </w:p>
        </w:tc>
        <w:tc>
          <w:tcPr>
            <w:tcW w:w="0" w:type="auto"/>
            <w:tcBorders>
              <w:top w:val="nil"/>
              <w:left w:val="nil"/>
              <w:bottom w:val="single" w:sz="4" w:space="0" w:color="auto"/>
              <w:right w:val="single" w:sz="4" w:space="0" w:color="auto"/>
            </w:tcBorders>
            <w:shd w:val="clear" w:color="auto" w:fill="auto"/>
            <w:noWrap/>
            <w:vAlign w:val="bottom"/>
            <w:hideMark/>
          </w:tcPr>
          <w:p w14:paraId="13C5FFF5"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28/02/2020</w:t>
            </w:r>
          </w:p>
        </w:tc>
        <w:tc>
          <w:tcPr>
            <w:tcW w:w="0" w:type="auto"/>
            <w:tcBorders>
              <w:top w:val="nil"/>
              <w:left w:val="nil"/>
              <w:bottom w:val="single" w:sz="4" w:space="0" w:color="auto"/>
              <w:right w:val="single" w:sz="4" w:space="0" w:color="auto"/>
            </w:tcBorders>
            <w:shd w:val="clear" w:color="auto" w:fill="auto"/>
            <w:noWrap/>
            <w:vAlign w:val="bottom"/>
            <w:hideMark/>
          </w:tcPr>
          <w:p w14:paraId="2DF90F94"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9</w:t>
            </w:r>
          </w:p>
        </w:tc>
        <w:tc>
          <w:tcPr>
            <w:tcW w:w="0" w:type="auto"/>
            <w:tcBorders>
              <w:top w:val="nil"/>
              <w:left w:val="nil"/>
              <w:bottom w:val="single" w:sz="4" w:space="0" w:color="auto"/>
              <w:right w:val="single" w:sz="4" w:space="0" w:color="auto"/>
            </w:tcBorders>
            <w:shd w:val="clear" w:color="auto" w:fill="auto"/>
            <w:noWrap/>
            <w:vAlign w:val="bottom"/>
            <w:hideMark/>
          </w:tcPr>
          <w:p w14:paraId="46D775BC"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52CC8663"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2675FE68"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0B8C5B7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2011-BIO-015</w:t>
            </w:r>
          </w:p>
        </w:tc>
        <w:tc>
          <w:tcPr>
            <w:tcW w:w="688" w:type="dxa"/>
            <w:tcBorders>
              <w:top w:val="nil"/>
              <w:left w:val="nil"/>
              <w:bottom w:val="single" w:sz="4" w:space="0" w:color="auto"/>
              <w:right w:val="single" w:sz="4" w:space="0" w:color="auto"/>
            </w:tcBorders>
            <w:shd w:val="clear" w:color="auto" w:fill="auto"/>
            <w:noWrap/>
            <w:vAlign w:val="bottom"/>
            <w:hideMark/>
          </w:tcPr>
          <w:p w14:paraId="229D1542"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BTBR</w:t>
            </w:r>
          </w:p>
        </w:tc>
        <w:tc>
          <w:tcPr>
            <w:tcW w:w="1255" w:type="dxa"/>
            <w:tcBorders>
              <w:top w:val="nil"/>
              <w:left w:val="nil"/>
              <w:bottom w:val="single" w:sz="4" w:space="0" w:color="auto"/>
              <w:right w:val="single" w:sz="4" w:space="0" w:color="auto"/>
            </w:tcBorders>
            <w:shd w:val="clear" w:color="auto" w:fill="auto"/>
            <w:noWrap/>
            <w:vAlign w:val="bottom"/>
            <w:hideMark/>
          </w:tcPr>
          <w:p w14:paraId="7F454D94"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AMAIZING</w:t>
            </w:r>
          </w:p>
        </w:tc>
        <w:tc>
          <w:tcPr>
            <w:tcW w:w="1494" w:type="dxa"/>
            <w:tcBorders>
              <w:top w:val="nil"/>
              <w:left w:val="nil"/>
              <w:bottom w:val="single" w:sz="4" w:space="0" w:color="auto"/>
              <w:right w:val="single" w:sz="4" w:space="0" w:color="auto"/>
            </w:tcBorders>
            <w:shd w:val="clear" w:color="auto" w:fill="auto"/>
            <w:noWrap/>
            <w:vAlign w:val="bottom"/>
            <w:hideMark/>
          </w:tcPr>
          <w:p w14:paraId="20BE2758"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INRAE</w:t>
            </w:r>
          </w:p>
        </w:tc>
        <w:tc>
          <w:tcPr>
            <w:tcW w:w="0" w:type="auto"/>
            <w:tcBorders>
              <w:top w:val="nil"/>
              <w:left w:val="nil"/>
              <w:bottom w:val="single" w:sz="4" w:space="0" w:color="auto"/>
              <w:right w:val="single" w:sz="4" w:space="0" w:color="auto"/>
            </w:tcBorders>
            <w:shd w:val="clear" w:color="auto" w:fill="auto"/>
            <w:noWrap/>
            <w:vAlign w:val="bottom"/>
            <w:hideMark/>
          </w:tcPr>
          <w:p w14:paraId="39F8291F"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01/10/2011</w:t>
            </w:r>
          </w:p>
        </w:tc>
        <w:tc>
          <w:tcPr>
            <w:tcW w:w="0" w:type="auto"/>
            <w:tcBorders>
              <w:top w:val="nil"/>
              <w:left w:val="nil"/>
              <w:bottom w:val="single" w:sz="4" w:space="0" w:color="auto"/>
              <w:right w:val="single" w:sz="4" w:space="0" w:color="auto"/>
            </w:tcBorders>
            <w:shd w:val="clear" w:color="auto" w:fill="auto"/>
            <w:noWrap/>
            <w:vAlign w:val="bottom"/>
            <w:hideMark/>
          </w:tcPr>
          <w:p w14:paraId="004E4F0D"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30/11/2021</w:t>
            </w:r>
          </w:p>
        </w:tc>
        <w:tc>
          <w:tcPr>
            <w:tcW w:w="0" w:type="auto"/>
            <w:tcBorders>
              <w:top w:val="nil"/>
              <w:left w:val="nil"/>
              <w:bottom w:val="single" w:sz="4" w:space="0" w:color="auto"/>
              <w:right w:val="single" w:sz="4" w:space="0" w:color="auto"/>
            </w:tcBorders>
            <w:shd w:val="clear" w:color="auto" w:fill="auto"/>
            <w:noWrap/>
            <w:vAlign w:val="bottom"/>
            <w:hideMark/>
          </w:tcPr>
          <w:p w14:paraId="573B4F75"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9</w:t>
            </w:r>
          </w:p>
        </w:tc>
        <w:tc>
          <w:tcPr>
            <w:tcW w:w="0" w:type="auto"/>
            <w:tcBorders>
              <w:top w:val="nil"/>
              <w:left w:val="nil"/>
              <w:bottom w:val="single" w:sz="4" w:space="0" w:color="auto"/>
              <w:right w:val="single" w:sz="4" w:space="0" w:color="auto"/>
            </w:tcBorders>
            <w:shd w:val="clear" w:color="auto" w:fill="auto"/>
            <w:noWrap/>
            <w:vAlign w:val="bottom"/>
            <w:hideMark/>
          </w:tcPr>
          <w:p w14:paraId="19641C04"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30938585"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187A8569"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17ADB360"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2012-LABX-09</w:t>
            </w:r>
          </w:p>
        </w:tc>
        <w:tc>
          <w:tcPr>
            <w:tcW w:w="688" w:type="dxa"/>
            <w:tcBorders>
              <w:top w:val="nil"/>
              <w:left w:val="nil"/>
              <w:bottom w:val="single" w:sz="4" w:space="0" w:color="auto"/>
              <w:right w:val="single" w:sz="4" w:space="0" w:color="auto"/>
            </w:tcBorders>
            <w:shd w:val="clear" w:color="auto" w:fill="auto"/>
            <w:noWrap/>
            <w:vAlign w:val="bottom"/>
            <w:hideMark/>
          </w:tcPr>
          <w:p w14:paraId="7DC72A4F"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5CAF20FE"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OTMed</w:t>
            </w:r>
          </w:p>
        </w:tc>
        <w:tc>
          <w:tcPr>
            <w:tcW w:w="1494" w:type="dxa"/>
            <w:tcBorders>
              <w:top w:val="nil"/>
              <w:left w:val="nil"/>
              <w:bottom w:val="single" w:sz="4" w:space="0" w:color="auto"/>
              <w:right w:val="single" w:sz="4" w:space="0" w:color="auto"/>
            </w:tcBorders>
            <w:shd w:val="clear" w:color="auto" w:fill="auto"/>
            <w:noWrap/>
            <w:vAlign w:val="bottom"/>
            <w:hideMark/>
          </w:tcPr>
          <w:p w14:paraId="459199B3"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Aix_Marseille</w:t>
            </w:r>
          </w:p>
        </w:tc>
        <w:tc>
          <w:tcPr>
            <w:tcW w:w="0" w:type="auto"/>
            <w:tcBorders>
              <w:top w:val="nil"/>
              <w:left w:val="nil"/>
              <w:bottom w:val="single" w:sz="4" w:space="0" w:color="auto"/>
              <w:right w:val="single" w:sz="4" w:space="0" w:color="auto"/>
            </w:tcBorders>
            <w:shd w:val="clear" w:color="auto" w:fill="auto"/>
            <w:noWrap/>
            <w:vAlign w:val="bottom"/>
            <w:hideMark/>
          </w:tcPr>
          <w:p w14:paraId="7DC2314E"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01/03/2012</w:t>
            </w:r>
          </w:p>
        </w:tc>
        <w:tc>
          <w:tcPr>
            <w:tcW w:w="0" w:type="auto"/>
            <w:tcBorders>
              <w:top w:val="nil"/>
              <w:left w:val="nil"/>
              <w:bottom w:val="single" w:sz="4" w:space="0" w:color="auto"/>
              <w:right w:val="single" w:sz="4" w:space="0" w:color="auto"/>
            </w:tcBorders>
            <w:shd w:val="clear" w:color="auto" w:fill="auto"/>
            <w:noWrap/>
            <w:vAlign w:val="bottom"/>
            <w:hideMark/>
          </w:tcPr>
          <w:p w14:paraId="1DEA6FE7"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31/12/2019</w:t>
            </w:r>
          </w:p>
        </w:tc>
        <w:tc>
          <w:tcPr>
            <w:tcW w:w="0" w:type="auto"/>
            <w:tcBorders>
              <w:top w:val="nil"/>
              <w:left w:val="nil"/>
              <w:bottom w:val="single" w:sz="4" w:space="0" w:color="auto"/>
              <w:right w:val="single" w:sz="4" w:space="0" w:color="auto"/>
            </w:tcBorders>
            <w:shd w:val="clear" w:color="auto" w:fill="auto"/>
            <w:noWrap/>
            <w:vAlign w:val="bottom"/>
            <w:hideMark/>
          </w:tcPr>
          <w:p w14:paraId="45D3C06B"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7</w:t>
            </w:r>
          </w:p>
        </w:tc>
        <w:tc>
          <w:tcPr>
            <w:tcW w:w="0" w:type="auto"/>
            <w:tcBorders>
              <w:top w:val="nil"/>
              <w:left w:val="nil"/>
              <w:bottom w:val="single" w:sz="4" w:space="0" w:color="auto"/>
              <w:right w:val="single" w:sz="4" w:space="0" w:color="auto"/>
            </w:tcBorders>
            <w:shd w:val="clear" w:color="auto" w:fill="auto"/>
            <w:noWrap/>
            <w:vAlign w:val="bottom"/>
            <w:hideMark/>
          </w:tcPr>
          <w:p w14:paraId="678997FE"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2498E449"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r w:rsidR="00324A64" w:rsidRPr="00EA2D0F" w14:paraId="1EB882C5" w14:textId="77777777" w:rsidTr="00C77D2E">
        <w:trPr>
          <w:trHeight w:val="300"/>
        </w:trPr>
        <w:tc>
          <w:tcPr>
            <w:tcW w:w="1261" w:type="dxa"/>
            <w:tcBorders>
              <w:top w:val="nil"/>
              <w:left w:val="single" w:sz="4" w:space="0" w:color="auto"/>
              <w:bottom w:val="single" w:sz="4" w:space="0" w:color="auto"/>
              <w:right w:val="single" w:sz="4" w:space="0" w:color="auto"/>
            </w:tcBorders>
            <w:shd w:val="clear" w:color="auto" w:fill="auto"/>
            <w:noWrap/>
            <w:vAlign w:val="bottom"/>
            <w:hideMark/>
          </w:tcPr>
          <w:p w14:paraId="2F5CCC29"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lastRenderedPageBreak/>
              <w:t>2012-LABX-25</w:t>
            </w:r>
          </w:p>
        </w:tc>
        <w:tc>
          <w:tcPr>
            <w:tcW w:w="688" w:type="dxa"/>
            <w:tcBorders>
              <w:top w:val="nil"/>
              <w:left w:val="nil"/>
              <w:bottom w:val="single" w:sz="4" w:space="0" w:color="auto"/>
              <w:right w:val="single" w:sz="4" w:space="0" w:color="auto"/>
            </w:tcBorders>
            <w:shd w:val="clear" w:color="auto" w:fill="auto"/>
            <w:noWrap/>
            <w:vAlign w:val="bottom"/>
            <w:hideMark/>
          </w:tcPr>
          <w:p w14:paraId="16111185"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LABX</w:t>
            </w:r>
          </w:p>
        </w:tc>
        <w:tc>
          <w:tcPr>
            <w:tcW w:w="1255" w:type="dxa"/>
            <w:tcBorders>
              <w:top w:val="nil"/>
              <w:left w:val="nil"/>
              <w:bottom w:val="single" w:sz="4" w:space="0" w:color="auto"/>
              <w:right w:val="single" w:sz="4" w:space="0" w:color="auto"/>
            </w:tcBorders>
            <w:shd w:val="clear" w:color="auto" w:fill="auto"/>
            <w:noWrap/>
            <w:vAlign w:val="bottom"/>
            <w:hideMark/>
          </w:tcPr>
          <w:p w14:paraId="27D9DFE1"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BASC</w:t>
            </w:r>
          </w:p>
        </w:tc>
        <w:tc>
          <w:tcPr>
            <w:tcW w:w="1494" w:type="dxa"/>
            <w:tcBorders>
              <w:top w:val="nil"/>
              <w:left w:val="nil"/>
              <w:bottom w:val="single" w:sz="4" w:space="0" w:color="auto"/>
              <w:right w:val="single" w:sz="4" w:space="0" w:color="auto"/>
            </w:tcBorders>
            <w:shd w:val="clear" w:color="auto" w:fill="auto"/>
            <w:noWrap/>
            <w:vAlign w:val="bottom"/>
            <w:hideMark/>
          </w:tcPr>
          <w:p w14:paraId="6C6E75EE" w14:textId="77777777" w:rsidR="00324A64" w:rsidRPr="00EA2D0F" w:rsidRDefault="00324A64" w:rsidP="00B25AC8">
            <w:pPr>
              <w:spacing w:before="0" w:after="0"/>
              <w:ind w:firstLine="0"/>
              <w:jc w:val="left"/>
              <w:rPr>
                <w:rFonts w:ascii="Calibri" w:hAnsi="Calibri" w:cs="Calibri"/>
                <w:sz w:val="22"/>
                <w:lang w:eastAsia="fr-FR"/>
              </w:rPr>
            </w:pPr>
            <w:r w:rsidRPr="00EA2D0F">
              <w:rPr>
                <w:rFonts w:ascii="Calibri" w:hAnsi="Calibri" w:cs="Calibri"/>
                <w:sz w:val="22"/>
                <w:lang w:eastAsia="fr-FR"/>
              </w:rPr>
              <w:t>Université Paris Saclay</w:t>
            </w:r>
          </w:p>
        </w:tc>
        <w:tc>
          <w:tcPr>
            <w:tcW w:w="0" w:type="auto"/>
            <w:tcBorders>
              <w:top w:val="nil"/>
              <w:left w:val="nil"/>
              <w:bottom w:val="single" w:sz="4" w:space="0" w:color="auto"/>
              <w:right w:val="single" w:sz="4" w:space="0" w:color="auto"/>
            </w:tcBorders>
            <w:shd w:val="clear" w:color="auto" w:fill="auto"/>
            <w:noWrap/>
            <w:vAlign w:val="bottom"/>
            <w:hideMark/>
          </w:tcPr>
          <w:p w14:paraId="64AF1854" w14:textId="77777777" w:rsidR="00324A64" w:rsidRPr="00EA2D0F" w:rsidRDefault="00324A64" w:rsidP="00B25AC8">
            <w:pPr>
              <w:spacing w:before="0" w:after="0"/>
              <w:ind w:firstLine="0"/>
              <w:jc w:val="right"/>
              <w:rPr>
                <w:rFonts w:ascii="Calibri" w:hAnsi="Calibri" w:cs="Calibri"/>
                <w:sz w:val="22"/>
                <w:lang w:eastAsia="fr-FR"/>
              </w:rPr>
            </w:pPr>
            <w:r w:rsidRPr="00EA2D0F">
              <w:rPr>
                <w:rFonts w:ascii="Calibri" w:hAnsi="Calibri" w:cs="Calibri"/>
                <w:sz w:val="22"/>
                <w:lang w:eastAsia="fr-FR"/>
              </w:rPr>
              <w:t>01/03/2012</w:t>
            </w:r>
          </w:p>
        </w:tc>
        <w:tc>
          <w:tcPr>
            <w:tcW w:w="0" w:type="auto"/>
            <w:tcBorders>
              <w:top w:val="nil"/>
              <w:left w:val="nil"/>
              <w:bottom w:val="single" w:sz="4" w:space="0" w:color="auto"/>
              <w:right w:val="single" w:sz="4" w:space="0" w:color="auto"/>
            </w:tcBorders>
            <w:shd w:val="clear" w:color="auto" w:fill="auto"/>
            <w:noWrap/>
            <w:vAlign w:val="bottom"/>
            <w:hideMark/>
          </w:tcPr>
          <w:p w14:paraId="2C454BDF"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31/12/2020</w:t>
            </w:r>
          </w:p>
        </w:tc>
        <w:tc>
          <w:tcPr>
            <w:tcW w:w="0" w:type="auto"/>
            <w:tcBorders>
              <w:top w:val="nil"/>
              <w:left w:val="nil"/>
              <w:bottom w:val="single" w:sz="4" w:space="0" w:color="auto"/>
              <w:right w:val="single" w:sz="4" w:space="0" w:color="auto"/>
            </w:tcBorders>
            <w:shd w:val="clear" w:color="auto" w:fill="auto"/>
            <w:noWrap/>
            <w:vAlign w:val="bottom"/>
            <w:hideMark/>
          </w:tcPr>
          <w:p w14:paraId="797C7F6D"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5</w:t>
            </w:r>
          </w:p>
        </w:tc>
        <w:tc>
          <w:tcPr>
            <w:tcW w:w="0" w:type="auto"/>
            <w:tcBorders>
              <w:top w:val="nil"/>
              <w:left w:val="nil"/>
              <w:bottom w:val="single" w:sz="4" w:space="0" w:color="auto"/>
              <w:right w:val="single" w:sz="4" w:space="0" w:color="auto"/>
            </w:tcBorders>
            <w:shd w:val="clear" w:color="auto" w:fill="auto"/>
            <w:noWrap/>
            <w:vAlign w:val="bottom"/>
            <w:hideMark/>
          </w:tcPr>
          <w:p w14:paraId="38317B80" w14:textId="77777777" w:rsidR="00324A64" w:rsidRPr="00EA2D0F" w:rsidRDefault="00324A64" w:rsidP="00B25AC8">
            <w:pPr>
              <w:spacing w:before="0" w:after="0"/>
              <w:ind w:firstLine="0"/>
              <w:jc w:val="center"/>
              <w:rPr>
                <w:rFonts w:ascii="Calibri" w:hAnsi="Calibri" w:cs="Calibri"/>
                <w:sz w:val="22"/>
                <w:lang w:eastAsia="fr-FR"/>
              </w:rPr>
            </w:pPr>
            <w:r w:rsidRPr="00EA2D0F">
              <w:rPr>
                <w:rFonts w:ascii="Calibri" w:hAnsi="Calibri" w:cs="Calibri"/>
                <w:sz w:val="22"/>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5D5B9D90" w14:textId="77777777" w:rsidR="00324A64" w:rsidRPr="00EA2D0F" w:rsidRDefault="00324A64" w:rsidP="00B25AC8">
            <w:pPr>
              <w:spacing w:before="0" w:after="0"/>
              <w:ind w:firstLine="0"/>
              <w:jc w:val="center"/>
              <w:rPr>
                <w:rFonts w:ascii="Calibri" w:hAnsi="Calibri" w:cs="Calibri"/>
                <w:color w:val="000000"/>
                <w:sz w:val="22"/>
                <w:lang w:eastAsia="fr-FR"/>
              </w:rPr>
            </w:pPr>
            <w:r w:rsidRPr="00EA2D0F">
              <w:rPr>
                <w:rFonts w:ascii="Calibri" w:hAnsi="Calibri" w:cs="Calibri"/>
                <w:color w:val="000000"/>
                <w:sz w:val="22"/>
                <w:lang w:eastAsia="fr-FR"/>
              </w:rPr>
              <w:t>PNACC 1</w:t>
            </w:r>
          </w:p>
        </w:tc>
      </w:tr>
    </w:tbl>
    <w:p w14:paraId="28080A13" w14:textId="77777777" w:rsidR="00C77D2E" w:rsidRDefault="00C77D2E">
      <w:pPr>
        <w:spacing w:before="0" w:after="200" w:line="276" w:lineRule="auto"/>
        <w:ind w:firstLine="0"/>
        <w:jc w:val="left"/>
        <w:rPr>
          <w:rFonts w:eastAsiaTheme="majorEastAsia" w:cstheme="majorBidi"/>
          <w:b/>
          <w:bCs/>
          <w:sz w:val="30"/>
          <w:szCs w:val="28"/>
        </w:rPr>
      </w:pPr>
      <w:bookmarkStart w:id="26" w:name="_Toc160528289"/>
      <w:r>
        <w:br w:type="page"/>
      </w:r>
    </w:p>
    <w:p w14:paraId="79219BED" w14:textId="5759B881" w:rsidR="001C5C95" w:rsidRDefault="00224233" w:rsidP="000F2B93">
      <w:pPr>
        <w:pStyle w:val="Titre1"/>
        <w:jc w:val="center"/>
      </w:pPr>
      <w:r>
        <w:lastRenderedPageBreak/>
        <w:t>Viviers scientifiques</w:t>
      </w:r>
      <w:bookmarkEnd w:id="26"/>
    </w:p>
    <w:p w14:paraId="63A28244" w14:textId="77777777" w:rsidR="00037DD7" w:rsidRPr="00EE0546" w:rsidRDefault="00037DD7" w:rsidP="00037DD7">
      <w:pPr>
        <w:pStyle w:val="Titretableau"/>
        <w:spacing w:before="400"/>
      </w:pPr>
      <w:r w:rsidRPr="00EE0546">
        <w:t> Évolution des effectifs d’enseignants-chercheurs permanents par discipline de la recherche pour l’adaptation.</w:t>
      </w:r>
    </w:p>
    <w:tbl>
      <w:tblPr>
        <w:tblStyle w:val="TABLEAURAPPORTPUBLICANNUEL"/>
        <w:tblW w:w="0" w:type="auto"/>
        <w:tblInd w:w="-737" w:type="dxa"/>
        <w:tblLook w:val="04A0" w:firstRow="1" w:lastRow="0" w:firstColumn="1" w:lastColumn="0" w:noHBand="0" w:noVBand="1"/>
      </w:tblPr>
      <w:tblGrid>
        <w:gridCol w:w="874"/>
        <w:gridCol w:w="6175"/>
        <w:gridCol w:w="596"/>
        <w:gridCol w:w="596"/>
        <w:gridCol w:w="1556"/>
      </w:tblGrid>
      <w:tr w:rsidR="00037DD7" w14:paraId="5D8BC976" w14:textId="77777777" w:rsidTr="008F44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vAlign w:val="bottom"/>
          </w:tcPr>
          <w:p w14:paraId="6C6C698E" w14:textId="77777777" w:rsidR="00037DD7" w:rsidRPr="00EE0546" w:rsidRDefault="00037DD7" w:rsidP="00494E25">
            <w:pPr>
              <w:pStyle w:val="TableauSchmaOrganigrammecentr"/>
              <w:rPr>
                <w:rStyle w:val="CCOMPTESitalique"/>
              </w:rPr>
            </w:pPr>
            <w:r w:rsidRPr="00EE0546">
              <w:rPr>
                <w:rStyle w:val="CCOMPTESitalique"/>
              </w:rPr>
              <w:t>Périmètre</w:t>
            </w:r>
          </w:p>
        </w:tc>
        <w:tc>
          <w:tcPr>
            <w:tcW w:w="0" w:type="auto"/>
            <w:vAlign w:val="bottom"/>
          </w:tcPr>
          <w:p w14:paraId="161A5A49" w14:textId="77777777" w:rsidR="00037DD7" w:rsidRPr="00EE0546" w:rsidRDefault="00037DD7"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EE0546">
              <w:t>2010</w:t>
            </w:r>
          </w:p>
        </w:tc>
        <w:tc>
          <w:tcPr>
            <w:tcW w:w="0" w:type="auto"/>
            <w:vAlign w:val="bottom"/>
          </w:tcPr>
          <w:p w14:paraId="0C065300" w14:textId="77777777" w:rsidR="00037DD7" w:rsidRPr="00EE0546" w:rsidRDefault="00037DD7"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EE0546">
              <w:t>2021</w:t>
            </w:r>
          </w:p>
        </w:tc>
        <w:tc>
          <w:tcPr>
            <w:tcW w:w="0" w:type="auto"/>
            <w:vAlign w:val="bottom"/>
          </w:tcPr>
          <w:p w14:paraId="69AAEE7B" w14:textId="77777777" w:rsidR="00037DD7" w:rsidRPr="00EE0546" w:rsidRDefault="00037DD7"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EE0546">
              <w:t>Évolution (en %)</w:t>
            </w:r>
          </w:p>
        </w:tc>
      </w:tr>
      <w:tr w:rsidR="00037DD7" w14:paraId="670BE766" w14:textId="77777777" w:rsidTr="008F4486">
        <w:tc>
          <w:tcPr>
            <w:cnfStyle w:val="001000000000" w:firstRow="0" w:lastRow="0" w:firstColumn="1" w:lastColumn="0" w:oddVBand="0" w:evenVBand="0" w:oddHBand="0" w:evenHBand="0" w:firstRowFirstColumn="0" w:firstRowLastColumn="0" w:lastRowFirstColumn="0" w:lastRowLastColumn="0"/>
            <w:tcW w:w="0" w:type="auto"/>
            <w:gridSpan w:val="2"/>
            <w:vAlign w:val="bottom"/>
          </w:tcPr>
          <w:p w14:paraId="56BC9978" w14:textId="77777777" w:rsidR="00037DD7" w:rsidRPr="008F4486" w:rsidRDefault="00037DD7" w:rsidP="00494E25">
            <w:pPr>
              <w:pStyle w:val="TableauSchmaOrganigrammecentr"/>
              <w:rPr>
                <w:rStyle w:val="CCOMPTESgrasitalique"/>
                <w:lang w:val="fr-FR"/>
              </w:rPr>
            </w:pPr>
            <w:r w:rsidRPr="008F4486">
              <w:rPr>
                <w:rStyle w:val="CCOMPTESgrasitalique"/>
                <w:lang w:val="fr-FR"/>
              </w:rPr>
              <w:t xml:space="preserve">Total sciences du climat </w:t>
            </w:r>
            <w:r w:rsidRPr="008F4486">
              <w:rPr>
                <w:rStyle w:val="CCOMPTESgrasitalique"/>
                <w:lang w:val="fr-FR"/>
              </w:rPr>
              <w:br/>
              <w:t>(périmètre du groupe 1 du GIEC)</w:t>
            </w:r>
          </w:p>
        </w:tc>
        <w:tc>
          <w:tcPr>
            <w:tcW w:w="0" w:type="auto"/>
            <w:vAlign w:val="bottom"/>
          </w:tcPr>
          <w:p w14:paraId="1C587620"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582</w:t>
            </w:r>
          </w:p>
        </w:tc>
        <w:tc>
          <w:tcPr>
            <w:tcW w:w="0" w:type="auto"/>
            <w:vAlign w:val="bottom"/>
          </w:tcPr>
          <w:p w14:paraId="08B861D3"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570</w:t>
            </w:r>
          </w:p>
        </w:tc>
        <w:tc>
          <w:tcPr>
            <w:tcW w:w="0" w:type="auto"/>
            <w:vAlign w:val="bottom"/>
          </w:tcPr>
          <w:p w14:paraId="248D97F9"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w:t>
            </w:r>
          </w:p>
        </w:tc>
      </w:tr>
      <w:tr w:rsidR="00037DD7" w14:paraId="7B71CF09"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restart"/>
            <w:textDirection w:val="btLr"/>
            <w:vAlign w:val="bottom"/>
          </w:tcPr>
          <w:p w14:paraId="4EB919E2" w14:textId="77777777" w:rsidR="00037DD7" w:rsidRPr="00EE0546" w:rsidRDefault="00037DD7" w:rsidP="00494E25">
            <w:pPr>
              <w:pStyle w:val="TableauSchmaOrganigrammecentr"/>
            </w:pPr>
            <w:r w:rsidRPr="00EE0546">
              <w:t>dont maîtres de conférences</w:t>
            </w:r>
          </w:p>
        </w:tc>
        <w:tc>
          <w:tcPr>
            <w:tcW w:w="6175" w:type="dxa"/>
            <w:vAlign w:val="bottom"/>
          </w:tcPr>
          <w:p w14:paraId="2E22C72C"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sous-total</w:t>
            </w:r>
          </w:p>
        </w:tc>
        <w:tc>
          <w:tcPr>
            <w:tcW w:w="0" w:type="auto"/>
            <w:vAlign w:val="bottom"/>
          </w:tcPr>
          <w:p w14:paraId="073FB52F"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405</w:t>
            </w:r>
          </w:p>
        </w:tc>
        <w:tc>
          <w:tcPr>
            <w:tcW w:w="0" w:type="auto"/>
            <w:vAlign w:val="bottom"/>
          </w:tcPr>
          <w:p w14:paraId="32168984"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381</w:t>
            </w:r>
          </w:p>
        </w:tc>
        <w:tc>
          <w:tcPr>
            <w:tcW w:w="0" w:type="auto"/>
            <w:vAlign w:val="bottom"/>
          </w:tcPr>
          <w:p w14:paraId="25A664B2"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-6%</w:t>
            </w:r>
          </w:p>
        </w:tc>
      </w:tr>
      <w:tr w:rsidR="00037DD7" w14:paraId="03B92E96"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58208C52" w14:textId="77777777" w:rsidR="00037DD7" w:rsidRPr="00EE0546" w:rsidRDefault="00037DD7" w:rsidP="00494E25">
            <w:pPr>
              <w:pStyle w:val="TableauSchmaOrganigrammecentr"/>
            </w:pPr>
          </w:p>
        </w:tc>
        <w:tc>
          <w:tcPr>
            <w:tcW w:w="6175" w:type="dxa"/>
            <w:vAlign w:val="bottom"/>
          </w:tcPr>
          <w:p w14:paraId="73B40FF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37 Enveloppes fluides du système Terre et autres planètes</w:t>
            </w:r>
          </w:p>
        </w:tc>
        <w:tc>
          <w:tcPr>
            <w:tcW w:w="0" w:type="auto"/>
            <w:vAlign w:val="bottom"/>
          </w:tcPr>
          <w:p w14:paraId="5DD538F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122</w:t>
            </w:r>
          </w:p>
        </w:tc>
        <w:tc>
          <w:tcPr>
            <w:tcW w:w="0" w:type="auto"/>
            <w:vAlign w:val="bottom"/>
          </w:tcPr>
          <w:p w14:paraId="57F74B73"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121</w:t>
            </w:r>
          </w:p>
        </w:tc>
        <w:tc>
          <w:tcPr>
            <w:tcW w:w="0" w:type="auto"/>
            <w:vAlign w:val="bottom"/>
          </w:tcPr>
          <w:p w14:paraId="45164DF3"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w:t>
            </w:r>
          </w:p>
        </w:tc>
      </w:tr>
      <w:tr w:rsidR="00037DD7" w14:paraId="70BB1269" w14:textId="77777777" w:rsidTr="008F4486">
        <w:trPr>
          <w:trHeight w:val="507"/>
        </w:trPr>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723CD2A8" w14:textId="77777777" w:rsidR="00037DD7" w:rsidRPr="00EE0546" w:rsidRDefault="00037DD7" w:rsidP="00494E25">
            <w:pPr>
              <w:pStyle w:val="TableauSchmaOrganigrammecentr"/>
            </w:pPr>
          </w:p>
        </w:tc>
        <w:tc>
          <w:tcPr>
            <w:tcW w:w="6175" w:type="dxa"/>
            <w:vAlign w:val="bottom"/>
          </w:tcPr>
          <w:p w14:paraId="226A70A4"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36 Terre solide : géodynamique des enveloppes supérieures, paléo-biosphère</w:t>
            </w:r>
          </w:p>
        </w:tc>
        <w:tc>
          <w:tcPr>
            <w:tcW w:w="0" w:type="auto"/>
            <w:vAlign w:val="bottom"/>
          </w:tcPr>
          <w:p w14:paraId="687015EC"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283</w:t>
            </w:r>
          </w:p>
        </w:tc>
        <w:tc>
          <w:tcPr>
            <w:tcW w:w="0" w:type="auto"/>
            <w:vAlign w:val="bottom"/>
          </w:tcPr>
          <w:p w14:paraId="2F05F07A"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260</w:t>
            </w:r>
          </w:p>
        </w:tc>
        <w:tc>
          <w:tcPr>
            <w:tcW w:w="0" w:type="auto"/>
            <w:vAlign w:val="bottom"/>
          </w:tcPr>
          <w:p w14:paraId="11E747D3"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-8%</w:t>
            </w:r>
          </w:p>
        </w:tc>
      </w:tr>
      <w:tr w:rsidR="00037DD7" w14:paraId="69F511B1"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restart"/>
            <w:textDirection w:val="btLr"/>
            <w:vAlign w:val="bottom"/>
          </w:tcPr>
          <w:p w14:paraId="53BE3F27" w14:textId="77777777" w:rsidR="00037DD7" w:rsidRPr="00EE0546" w:rsidRDefault="00037DD7" w:rsidP="00494E25">
            <w:pPr>
              <w:pStyle w:val="TableauSchmaOrganigrammecentr"/>
            </w:pPr>
            <w:r w:rsidRPr="00EE0546">
              <w:t>dont professeurs des universités</w:t>
            </w:r>
          </w:p>
        </w:tc>
        <w:tc>
          <w:tcPr>
            <w:tcW w:w="6175" w:type="dxa"/>
            <w:vAlign w:val="bottom"/>
          </w:tcPr>
          <w:p w14:paraId="4489A27E"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sous-total</w:t>
            </w:r>
          </w:p>
        </w:tc>
        <w:tc>
          <w:tcPr>
            <w:tcW w:w="0" w:type="auto"/>
            <w:vAlign w:val="bottom"/>
          </w:tcPr>
          <w:p w14:paraId="6F2BA81E"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177</w:t>
            </w:r>
          </w:p>
        </w:tc>
        <w:tc>
          <w:tcPr>
            <w:tcW w:w="0" w:type="auto"/>
            <w:vAlign w:val="bottom"/>
          </w:tcPr>
          <w:p w14:paraId="78DD79C3"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189</w:t>
            </w:r>
          </w:p>
        </w:tc>
        <w:tc>
          <w:tcPr>
            <w:tcW w:w="0" w:type="auto"/>
            <w:vAlign w:val="bottom"/>
          </w:tcPr>
          <w:p w14:paraId="6395193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7%</w:t>
            </w:r>
          </w:p>
        </w:tc>
      </w:tr>
      <w:tr w:rsidR="00037DD7" w14:paraId="523DA10B"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79B4B4C6" w14:textId="77777777" w:rsidR="00037DD7" w:rsidRPr="00EE0546" w:rsidRDefault="00037DD7" w:rsidP="00494E25">
            <w:pPr>
              <w:pStyle w:val="TableauSchmaOrganigrammecentr"/>
            </w:pPr>
          </w:p>
        </w:tc>
        <w:tc>
          <w:tcPr>
            <w:tcW w:w="6175" w:type="dxa"/>
            <w:vAlign w:val="bottom"/>
          </w:tcPr>
          <w:p w14:paraId="24880B5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37 Enveloppes fluides du système Terre et autres planètes</w:t>
            </w:r>
          </w:p>
        </w:tc>
        <w:tc>
          <w:tcPr>
            <w:tcW w:w="0" w:type="auto"/>
            <w:vAlign w:val="bottom"/>
          </w:tcPr>
          <w:p w14:paraId="1227C261"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60</w:t>
            </w:r>
          </w:p>
        </w:tc>
        <w:tc>
          <w:tcPr>
            <w:tcW w:w="0" w:type="auto"/>
            <w:vAlign w:val="bottom"/>
          </w:tcPr>
          <w:p w14:paraId="1A58B871"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64</w:t>
            </w:r>
          </w:p>
        </w:tc>
        <w:tc>
          <w:tcPr>
            <w:tcW w:w="0" w:type="auto"/>
            <w:vAlign w:val="bottom"/>
          </w:tcPr>
          <w:p w14:paraId="58A8792D"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7%</w:t>
            </w:r>
          </w:p>
        </w:tc>
      </w:tr>
      <w:tr w:rsidR="00037DD7" w14:paraId="38F7BADD"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2157F9D7" w14:textId="77777777" w:rsidR="00037DD7" w:rsidRPr="00EE0546" w:rsidRDefault="00037DD7" w:rsidP="00494E25">
            <w:pPr>
              <w:pStyle w:val="TableauSchmaOrganigrammecentr"/>
            </w:pPr>
          </w:p>
        </w:tc>
        <w:tc>
          <w:tcPr>
            <w:tcW w:w="6175" w:type="dxa"/>
            <w:vAlign w:val="bottom"/>
          </w:tcPr>
          <w:p w14:paraId="4718749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36 Terre solide : géodynamique des enveloppes supérieures, paléo-biosphère</w:t>
            </w:r>
          </w:p>
        </w:tc>
        <w:tc>
          <w:tcPr>
            <w:tcW w:w="0" w:type="auto"/>
            <w:vAlign w:val="bottom"/>
          </w:tcPr>
          <w:p w14:paraId="103D834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117</w:t>
            </w:r>
          </w:p>
        </w:tc>
        <w:tc>
          <w:tcPr>
            <w:tcW w:w="0" w:type="auto"/>
            <w:vAlign w:val="bottom"/>
          </w:tcPr>
          <w:p w14:paraId="22E1D3AC"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125</w:t>
            </w:r>
          </w:p>
        </w:tc>
        <w:tc>
          <w:tcPr>
            <w:tcW w:w="0" w:type="auto"/>
            <w:vAlign w:val="bottom"/>
          </w:tcPr>
          <w:p w14:paraId="4C822CA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7%</w:t>
            </w:r>
          </w:p>
        </w:tc>
      </w:tr>
      <w:tr w:rsidR="00037DD7" w14:paraId="07C3385E" w14:textId="77777777" w:rsidTr="008F4486">
        <w:tc>
          <w:tcPr>
            <w:cnfStyle w:val="001000000000" w:firstRow="0" w:lastRow="0" w:firstColumn="1" w:lastColumn="0" w:oddVBand="0" w:evenVBand="0" w:oddHBand="0" w:evenHBand="0" w:firstRowFirstColumn="0" w:firstRowLastColumn="0" w:lastRowFirstColumn="0" w:lastRowLastColumn="0"/>
            <w:tcW w:w="0" w:type="auto"/>
            <w:gridSpan w:val="2"/>
            <w:vAlign w:val="bottom"/>
          </w:tcPr>
          <w:p w14:paraId="12C892F8" w14:textId="77777777" w:rsidR="00037DD7" w:rsidRPr="008F4486" w:rsidRDefault="00037DD7" w:rsidP="00494E25">
            <w:pPr>
              <w:pStyle w:val="TableauSchmaOrganigrammecentr"/>
              <w:rPr>
                <w:rStyle w:val="CCOMPTESgrasitalique"/>
                <w:lang w:val="fr-FR"/>
              </w:rPr>
            </w:pPr>
            <w:r w:rsidRPr="008F4486">
              <w:rPr>
                <w:rStyle w:val="CCOMPTESgrasitalique"/>
                <w:lang w:val="fr-FR"/>
              </w:rPr>
              <w:t xml:space="preserve">Total risques, vulnérabilités et adaptation </w:t>
            </w:r>
            <w:r w:rsidRPr="008F4486">
              <w:rPr>
                <w:rStyle w:val="CCOMPTESgrasitalique"/>
                <w:lang w:val="fr-FR"/>
              </w:rPr>
              <w:br/>
              <w:t>(périmètre du groupe 2 du GIEC)</w:t>
            </w:r>
          </w:p>
        </w:tc>
        <w:tc>
          <w:tcPr>
            <w:tcW w:w="0" w:type="auto"/>
            <w:vAlign w:val="bottom"/>
          </w:tcPr>
          <w:p w14:paraId="33BAF00A"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3598</w:t>
            </w:r>
          </w:p>
        </w:tc>
        <w:tc>
          <w:tcPr>
            <w:tcW w:w="0" w:type="auto"/>
            <w:vAlign w:val="bottom"/>
          </w:tcPr>
          <w:p w14:paraId="25976F19"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3560</w:t>
            </w:r>
          </w:p>
        </w:tc>
        <w:tc>
          <w:tcPr>
            <w:tcW w:w="0" w:type="auto"/>
            <w:vAlign w:val="bottom"/>
          </w:tcPr>
          <w:p w14:paraId="3D8DE62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w:t>
            </w:r>
          </w:p>
        </w:tc>
      </w:tr>
      <w:tr w:rsidR="00037DD7" w14:paraId="3D382C78"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restart"/>
            <w:textDirection w:val="btLr"/>
            <w:vAlign w:val="bottom"/>
          </w:tcPr>
          <w:p w14:paraId="67562B96" w14:textId="77777777" w:rsidR="00037DD7" w:rsidRPr="00EE0546" w:rsidRDefault="00037DD7" w:rsidP="00494E25">
            <w:pPr>
              <w:pStyle w:val="TableauSchmaOrganigrammecentr"/>
            </w:pPr>
            <w:r w:rsidRPr="00EE0546">
              <w:t>dont maîtres de conférences</w:t>
            </w:r>
          </w:p>
        </w:tc>
        <w:tc>
          <w:tcPr>
            <w:tcW w:w="6175" w:type="dxa"/>
            <w:vAlign w:val="bottom"/>
          </w:tcPr>
          <w:p w14:paraId="6FD31798"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sous-total</w:t>
            </w:r>
          </w:p>
        </w:tc>
        <w:tc>
          <w:tcPr>
            <w:tcW w:w="0" w:type="auto"/>
            <w:vAlign w:val="bottom"/>
          </w:tcPr>
          <w:p w14:paraId="103D16F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2524</w:t>
            </w:r>
          </w:p>
        </w:tc>
        <w:tc>
          <w:tcPr>
            <w:tcW w:w="0" w:type="auto"/>
            <w:vAlign w:val="bottom"/>
          </w:tcPr>
          <w:p w14:paraId="12A68ED9"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2430</w:t>
            </w:r>
          </w:p>
        </w:tc>
        <w:tc>
          <w:tcPr>
            <w:tcW w:w="0" w:type="auto"/>
            <w:vAlign w:val="bottom"/>
          </w:tcPr>
          <w:p w14:paraId="1AC2C625"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-4%</w:t>
            </w:r>
          </w:p>
        </w:tc>
      </w:tr>
      <w:tr w:rsidR="00037DD7" w14:paraId="0268DA46"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2F0EC5D2" w14:textId="77777777" w:rsidR="00037DD7" w:rsidRPr="00EE0546" w:rsidRDefault="00037DD7" w:rsidP="00494E25">
            <w:pPr>
              <w:pStyle w:val="TableauSchmaOrganigrammecentr"/>
            </w:pPr>
          </w:p>
        </w:tc>
        <w:tc>
          <w:tcPr>
            <w:tcW w:w="6175" w:type="dxa"/>
            <w:vAlign w:val="bottom"/>
          </w:tcPr>
          <w:p w14:paraId="64C7D50A"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67 Biologie des populations et écologie</w:t>
            </w:r>
          </w:p>
        </w:tc>
        <w:tc>
          <w:tcPr>
            <w:tcW w:w="0" w:type="auto"/>
            <w:vAlign w:val="bottom"/>
          </w:tcPr>
          <w:p w14:paraId="6144D2F9"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501</w:t>
            </w:r>
          </w:p>
        </w:tc>
        <w:tc>
          <w:tcPr>
            <w:tcW w:w="0" w:type="auto"/>
            <w:vAlign w:val="bottom"/>
          </w:tcPr>
          <w:p w14:paraId="285E7B5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500</w:t>
            </w:r>
          </w:p>
        </w:tc>
        <w:tc>
          <w:tcPr>
            <w:tcW w:w="0" w:type="auto"/>
            <w:vAlign w:val="bottom"/>
          </w:tcPr>
          <w:p w14:paraId="4BAE8D20"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0%</w:t>
            </w:r>
          </w:p>
        </w:tc>
      </w:tr>
      <w:tr w:rsidR="00037DD7" w14:paraId="12DAA5BC"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0B8A5426" w14:textId="77777777" w:rsidR="00037DD7" w:rsidRPr="00EE0546" w:rsidRDefault="00037DD7" w:rsidP="00494E25">
            <w:pPr>
              <w:pStyle w:val="TableauSchmaOrganigrammecentr"/>
            </w:pPr>
          </w:p>
        </w:tc>
        <w:tc>
          <w:tcPr>
            <w:tcW w:w="6175" w:type="dxa"/>
            <w:vAlign w:val="bottom"/>
          </w:tcPr>
          <w:p w14:paraId="54CAE96F"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05 Sciences économiques</w:t>
            </w:r>
          </w:p>
        </w:tc>
        <w:tc>
          <w:tcPr>
            <w:tcW w:w="0" w:type="auto"/>
            <w:vAlign w:val="bottom"/>
          </w:tcPr>
          <w:p w14:paraId="076A1791"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1277</w:t>
            </w:r>
          </w:p>
        </w:tc>
        <w:tc>
          <w:tcPr>
            <w:tcW w:w="0" w:type="auto"/>
            <w:vAlign w:val="bottom"/>
          </w:tcPr>
          <w:p w14:paraId="0C16CE7A"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1172</w:t>
            </w:r>
          </w:p>
        </w:tc>
        <w:tc>
          <w:tcPr>
            <w:tcW w:w="0" w:type="auto"/>
            <w:vAlign w:val="bottom"/>
          </w:tcPr>
          <w:p w14:paraId="61FBC5A8"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-8%</w:t>
            </w:r>
          </w:p>
        </w:tc>
      </w:tr>
      <w:tr w:rsidR="00037DD7" w14:paraId="2B6AE999"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6914DFC2" w14:textId="77777777" w:rsidR="00037DD7" w:rsidRPr="00EE0546" w:rsidRDefault="00037DD7" w:rsidP="00494E25">
            <w:pPr>
              <w:pStyle w:val="TableauSchmaOrganigrammecentr"/>
            </w:pPr>
          </w:p>
        </w:tc>
        <w:tc>
          <w:tcPr>
            <w:tcW w:w="6175" w:type="dxa"/>
            <w:vAlign w:val="bottom"/>
          </w:tcPr>
          <w:p w14:paraId="60D8F3BC"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23 Géographie physique, humaine, économique et régionale</w:t>
            </w:r>
          </w:p>
        </w:tc>
        <w:tc>
          <w:tcPr>
            <w:tcW w:w="0" w:type="auto"/>
            <w:vAlign w:val="bottom"/>
          </w:tcPr>
          <w:p w14:paraId="7E0B607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597</w:t>
            </w:r>
          </w:p>
        </w:tc>
        <w:tc>
          <w:tcPr>
            <w:tcW w:w="0" w:type="auto"/>
            <w:vAlign w:val="bottom"/>
          </w:tcPr>
          <w:p w14:paraId="1580A80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588</w:t>
            </w:r>
          </w:p>
        </w:tc>
        <w:tc>
          <w:tcPr>
            <w:tcW w:w="0" w:type="auto"/>
            <w:vAlign w:val="bottom"/>
          </w:tcPr>
          <w:p w14:paraId="03BAAC2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w:t>
            </w:r>
          </w:p>
        </w:tc>
      </w:tr>
      <w:tr w:rsidR="00037DD7" w14:paraId="08B4D980"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3F906A79" w14:textId="77777777" w:rsidR="00037DD7" w:rsidRPr="00EE0546" w:rsidRDefault="00037DD7" w:rsidP="00494E25">
            <w:pPr>
              <w:pStyle w:val="TableauSchmaOrganigrammecentr"/>
            </w:pPr>
          </w:p>
        </w:tc>
        <w:tc>
          <w:tcPr>
            <w:tcW w:w="6175" w:type="dxa"/>
            <w:vAlign w:val="bottom"/>
          </w:tcPr>
          <w:p w14:paraId="22518045"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24 Aménagement de l'espace, urbanisme</w:t>
            </w:r>
          </w:p>
        </w:tc>
        <w:tc>
          <w:tcPr>
            <w:tcW w:w="0" w:type="auto"/>
            <w:vAlign w:val="bottom"/>
          </w:tcPr>
          <w:p w14:paraId="2BB2A884"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149</w:t>
            </w:r>
          </w:p>
        </w:tc>
        <w:tc>
          <w:tcPr>
            <w:tcW w:w="0" w:type="auto"/>
            <w:vAlign w:val="bottom"/>
          </w:tcPr>
          <w:p w14:paraId="7FF7946F"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170</w:t>
            </w:r>
          </w:p>
        </w:tc>
        <w:tc>
          <w:tcPr>
            <w:tcW w:w="0" w:type="auto"/>
            <w:vAlign w:val="bottom"/>
          </w:tcPr>
          <w:p w14:paraId="58066746"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14%</w:t>
            </w:r>
          </w:p>
        </w:tc>
      </w:tr>
      <w:tr w:rsidR="00037DD7" w14:paraId="34D894A6"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restart"/>
            <w:textDirection w:val="btLr"/>
            <w:vAlign w:val="bottom"/>
          </w:tcPr>
          <w:p w14:paraId="1D08BAA6" w14:textId="77777777" w:rsidR="00037DD7" w:rsidRPr="00EE0546" w:rsidRDefault="00037DD7" w:rsidP="00494E25">
            <w:pPr>
              <w:pStyle w:val="TableauSchmaOrganigrammecentr"/>
            </w:pPr>
            <w:r w:rsidRPr="00EE0546">
              <w:t>dont professeurs des universités</w:t>
            </w:r>
          </w:p>
        </w:tc>
        <w:tc>
          <w:tcPr>
            <w:tcW w:w="6175" w:type="dxa"/>
            <w:vAlign w:val="bottom"/>
          </w:tcPr>
          <w:p w14:paraId="72ED402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sous-total</w:t>
            </w:r>
          </w:p>
        </w:tc>
        <w:tc>
          <w:tcPr>
            <w:tcW w:w="0" w:type="auto"/>
            <w:vAlign w:val="bottom"/>
          </w:tcPr>
          <w:p w14:paraId="12C30DCF"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1074</w:t>
            </w:r>
          </w:p>
        </w:tc>
        <w:tc>
          <w:tcPr>
            <w:tcW w:w="0" w:type="auto"/>
            <w:vAlign w:val="bottom"/>
          </w:tcPr>
          <w:p w14:paraId="5FF57891"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1130</w:t>
            </w:r>
          </w:p>
        </w:tc>
        <w:tc>
          <w:tcPr>
            <w:tcW w:w="0" w:type="auto"/>
            <w:vAlign w:val="bottom"/>
          </w:tcPr>
          <w:p w14:paraId="671F3F9F"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w:t>
            </w:r>
          </w:p>
        </w:tc>
      </w:tr>
      <w:tr w:rsidR="00037DD7" w14:paraId="1C251FD5"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73CB6EA1" w14:textId="77777777" w:rsidR="00037DD7" w:rsidRPr="00EE0546" w:rsidRDefault="00037DD7" w:rsidP="00494E25">
            <w:pPr>
              <w:pStyle w:val="TableauSchmaOrganigrammecentr"/>
            </w:pPr>
          </w:p>
        </w:tc>
        <w:tc>
          <w:tcPr>
            <w:tcW w:w="6175" w:type="dxa"/>
            <w:vAlign w:val="bottom"/>
          </w:tcPr>
          <w:p w14:paraId="5E601DE2"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67 Biologie des populations et écologie</w:t>
            </w:r>
          </w:p>
        </w:tc>
        <w:tc>
          <w:tcPr>
            <w:tcW w:w="0" w:type="auto"/>
            <w:vAlign w:val="bottom"/>
          </w:tcPr>
          <w:p w14:paraId="286749A2"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175</w:t>
            </w:r>
          </w:p>
        </w:tc>
        <w:tc>
          <w:tcPr>
            <w:tcW w:w="0" w:type="auto"/>
            <w:vAlign w:val="bottom"/>
          </w:tcPr>
          <w:p w14:paraId="1D80A039"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196</w:t>
            </w:r>
          </w:p>
        </w:tc>
        <w:tc>
          <w:tcPr>
            <w:tcW w:w="0" w:type="auto"/>
            <w:vAlign w:val="bottom"/>
          </w:tcPr>
          <w:p w14:paraId="6A8F7269"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12%</w:t>
            </w:r>
          </w:p>
        </w:tc>
      </w:tr>
      <w:tr w:rsidR="00037DD7" w14:paraId="1ECBC980"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5742E141" w14:textId="77777777" w:rsidR="00037DD7" w:rsidRPr="00EE0546" w:rsidRDefault="00037DD7" w:rsidP="00494E25">
            <w:pPr>
              <w:pStyle w:val="TableauSchmaOrganigrammecentr"/>
            </w:pPr>
          </w:p>
        </w:tc>
        <w:tc>
          <w:tcPr>
            <w:tcW w:w="6175" w:type="dxa"/>
            <w:vAlign w:val="bottom"/>
          </w:tcPr>
          <w:p w14:paraId="3BC86144"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05 Sciences économiques</w:t>
            </w:r>
          </w:p>
        </w:tc>
        <w:tc>
          <w:tcPr>
            <w:tcW w:w="0" w:type="auto"/>
            <w:vAlign w:val="bottom"/>
          </w:tcPr>
          <w:p w14:paraId="114841B3"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531</w:t>
            </w:r>
          </w:p>
        </w:tc>
        <w:tc>
          <w:tcPr>
            <w:tcW w:w="0" w:type="auto"/>
            <w:vAlign w:val="bottom"/>
          </w:tcPr>
          <w:p w14:paraId="1C0D3B42"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567</w:t>
            </w:r>
          </w:p>
        </w:tc>
        <w:tc>
          <w:tcPr>
            <w:tcW w:w="0" w:type="auto"/>
            <w:vAlign w:val="bottom"/>
          </w:tcPr>
          <w:p w14:paraId="42A7148A"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7%</w:t>
            </w:r>
          </w:p>
        </w:tc>
      </w:tr>
      <w:tr w:rsidR="00037DD7" w14:paraId="4A247E77"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0AFE0566" w14:textId="77777777" w:rsidR="00037DD7" w:rsidRPr="00EE0546" w:rsidRDefault="00037DD7" w:rsidP="00494E25">
            <w:pPr>
              <w:pStyle w:val="TableauSchmaOrganigrammecentr"/>
            </w:pPr>
          </w:p>
        </w:tc>
        <w:tc>
          <w:tcPr>
            <w:tcW w:w="6175" w:type="dxa"/>
            <w:vAlign w:val="bottom"/>
          </w:tcPr>
          <w:p w14:paraId="4E21E1FC"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23 Géographie physique, humaine, économique et régionale</w:t>
            </w:r>
          </w:p>
        </w:tc>
        <w:tc>
          <w:tcPr>
            <w:tcW w:w="0" w:type="auto"/>
            <w:vAlign w:val="bottom"/>
          </w:tcPr>
          <w:p w14:paraId="04E768C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272</w:t>
            </w:r>
          </w:p>
        </w:tc>
        <w:tc>
          <w:tcPr>
            <w:tcW w:w="0" w:type="auto"/>
            <w:vAlign w:val="bottom"/>
          </w:tcPr>
          <w:p w14:paraId="3CAB40CF"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276</w:t>
            </w:r>
          </w:p>
        </w:tc>
        <w:tc>
          <w:tcPr>
            <w:tcW w:w="0" w:type="auto"/>
            <w:vAlign w:val="bottom"/>
          </w:tcPr>
          <w:p w14:paraId="10E2069D"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1%</w:t>
            </w:r>
          </w:p>
        </w:tc>
      </w:tr>
      <w:tr w:rsidR="00037DD7" w14:paraId="13B33AC7" w14:textId="77777777" w:rsidTr="008F4486">
        <w:tc>
          <w:tcPr>
            <w:cnfStyle w:val="001000000000" w:firstRow="0" w:lastRow="0" w:firstColumn="1" w:lastColumn="0" w:oddVBand="0" w:evenVBand="0" w:oddHBand="0" w:evenHBand="0" w:firstRowFirstColumn="0" w:firstRowLastColumn="0" w:lastRowFirstColumn="0" w:lastRowLastColumn="0"/>
            <w:tcW w:w="874" w:type="dxa"/>
            <w:vMerge/>
            <w:vAlign w:val="bottom"/>
          </w:tcPr>
          <w:p w14:paraId="7514755E" w14:textId="77777777" w:rsidR="00037DD7" w:rsidRPr="00EE0546" w:rsidRDefault="00037DD7" w:rsidP="00494E25">
            <w:pPr>
              <w:pStyle w:val="TableauSchmaOrganigrammecentr"/>
            </w:pPr>
          </w:p>
        </w:tc>
        <w:tc>
          <w:tcPr>
            <w:tcW w:w="6175" w:type="dxa"/>
            <w:vAlign w:val="bottom"/>
          </w:tcPr>
          <w:p w14:paraId="2CE784B2"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dont section 24 Aménagement de l'espace, urbanisme</w:t>
            </w:r>
          </w:p>
        </w:tc>
        <w:tc>
          <w:tcPr>
            <w:tcW w:w="0" w:type="auto"/>
            <w:vAlign w:val="bottom"/>
          </w:tcPr>
          <w:p w14:paraId="48DA69B8"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96</w:t>
            </w:r>
          </w:p>
        </w:tc>
        <w:tc>
          <w:tcPr>
            <w:tcW w:w="0" w:type="auto"/>
            <w:vAlign w:val="bottom"/>
          </w:tcPr>
          <w:p w14:paraId="7E169580"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91</w:t>
            </w:r>
          </w:p>
        </w:tc>
        <w:tc>
          <w:tcPr>
            <w:tcW w:w="0" w:type="auto"/>
            <w:vAlign w:val="bottom"/>
          </w:tcPr>
          <w:p w14:paraId="437251A7" w14:textId="77777777" w:rsidR="00037DD7" w:rsidRPr="00EE0546" w:rsidRDefault="00037DD7"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EE0546">
              <w:t>-5%</w:t>
            </w:r>
          </w:p>
        </w:tc>
      </w:tr>
    </w:tbl>
    <w:p w14:paraId="5DE2A63A" w14:textId="77777777" w:rsidR="00037DD7" w:rsidRDefault="00037DD7" w:rsidP="00037DD7">
      <w:pPr>
        <w:pStyle w:val="TexteSource"/>
      </w:pPr>
      <w:r w:rsidRPr="00EE0546">
        <w:t>Source : analys</w:t>
      </w:r>
      <w:r>
        <w:t xml:space="preserve">e par la Cour des </w:t>
      </w:r>
      <w:r w:rsidRPr="00EE0546">
        <w:t>données ouvertes du MESR relatives aux effectifs nationaux d’enseignants-chercheurs et d’enseignants titulaires.</w:t>
      </w:r>
      <w:r>
        <w:t xml:space="preserve"> Les sections ont été identifiées sur la base des conseils des acteurs d’une part et des analyses de données de la Cour d’autres part (identification des disciplines concernées dans Hal et theses.fr)</w:t>
      </w:r>
    </w:p>
    <w:p w14:paraId="104124C8" w14:textId="77777777" w:rsidR="00D74E96" w:rsidRDefault="00D74E96" w:rsidP="00D74E96">
      <w:pPr>
        <w:pStyle w:val="Titretableau"/>
        <w:spacing w:before="400"/>
      </w:pPr>
      <w:r>
        <w:t> Évolution comparée des effectifs de docteurs dans le domaine de la recherche pour l’adaptation et en adaptation en regard de l’ensemble des domaines scientifiques</w:t>
      </w:r>
    </w:p>
    <w:tbl>
      <w:tblPr>
        <w:tblStyle w:val="TABLEAURAPPORTPUBLICANNUEL"/>
        <w:tblW w:w="0" w:type="auto"/>
        <w:tblLook w:val="04A0" w:firstRow="1" w:lastRow="0" w:firstColumn="1" w:lastColumn="0" w:noHBand="0" w:noVBand="1"/>
      </w:tblPr>
      <w:tblGrid>
        <w:gridCol w:w="2742"/>
        <w:gridCol w:w="2060"/>
        <w:gridCol w:w="2225"/>
        <w:gridCol w:w="1920"/>
      </w:tblGrid>
      <w:tr w:rsidR="00D74E96" w14:paraId="3A4236EB" w14:textId="77777777" w:rsidTr="008F44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top"/>
          </w:tcPr>
          <w:p w14:paraId="2E2CD351" w14:textId="77777777" w:rsidR="00D74E96" w:rsidRPr="00546ABB" w:rsidRDefault="00D74E96" w:rsidP="00494E25">
            <w:pPr>
              <w:pStyle w:val="TableauSchmaOrganigrammecentr"/>
            </w:pPr>
            <w:r>
              <w:t>Année de soutenance de la thèse</w:t>
            </w:r>
          </w:p>
        </w:tc>
        <w:tc>
          <w:tcPr>
            <w:tcW w:w="0" w:type="auto"/>
            <w:vAlign w:val="top"/>
          </w:tcPr>
          <w:p w14:paraId="08B388EB" w14:textId="77777777" w:rsidR="00D74E96" w:rsidRPr="00546ABB" w:rsidRDefault="00D74E96" w:rsidP="00494E25">
            <w:pPr>
              <w:pStyle w:val="TableauSchmaOrganigrammecentr"/>
              <w:cnfStyle w:val="100000000000" w:firstRow="1" w:lastRow="0" w:firstColumn="0" w:lastColumn="0" w:oddVBand="0" w:evenVBand="0" w:oddHBand="0" w:evenHBand="0" w:firstRowFirstColumn="0" w:firstRowLastColumn="0" w:lastRowFirstColumn="0" w:lastRowLastColumn="0"/>
            </w:pPr>
            <w:r>
              <w:t>Nombre total de thèses</w:t>
            </w:r>
          </w:p>
        </w:tc>
        <w:tc>
          <w:tcPr>
            <w:tcW w:w="0" w:type="auto"/>
            <w:vAlign w:val="top"/>
          </w:tcPr>
          <w:p w14:paraId="6A986594" w14:textId="77777777" w:rsidR="00D74E96" w:rsidRPr="00546ABB" w:rsidRDefault="00D74E96"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546ABB">
              <w:t>Thèses pour l'adaptation</w:t>
            </w:r>
          </w:p>
        </w:tc>
        <w:tc>
          <w:tcPr>
            <w:tcW w:w="0" w:type="auto"/>
            <w:vAlign w:val="top"/>
          </w:tcPr>
          <w:p w14:paraId="737DC02B" w14:textId="77777777" w:rsidR="00D74E96" w:rsidRPr="00546ABB" w:rsidRDefault="00D74E96" w:rsidP="00494E25">
            <w:pPr>
              <w:pStyle w:val="TableauSchmaOrganigrammecentr"/>
              <w:cnfStyle w:val="100000000000" w:firstRow="1" w:lastRow="0" w:firstColumn="0" w:lastColumn="0" w:oddVBand="0" w:evenVBand="0" w:oddHBand="0" w:evenHBand="0" w:firstRowFirstColumn="0" w:firstRowLastColumn="0" w:lastRowFirstColumn="0" w:lastRowLastColumn="0"/>
            </w:pPr>
            <w:r w:rsidRPr="00546ABB">
              <w:t>Thèses en adaptation</w:t>
            </w:r>
          </w:p>
        </w:tc>
      </w:tr>
      <w:tr w:rsidR="00D74E96" w14:paraId="1B6FA65B" w14:textId="77777777" w:rsidTr="008F4486">
        <w:tc>
          <w:tcPr>
            <w:cnfStyle w:val="001000000000" w:firstRow="0" w:lastRow="0" w:firstColumn="1" w:lastColumn="0" w:oddVBand="0" w:evenVBand="0" w:oddHBand="0" w:evenHBand="0" w:firstRowFirstColumn="0" w:firstRowLastColumn="0" w:lastRowFirstColumn="0" w:lastRowLastColumn="0"/>
            <w:tcW w:w="0" w:type="auto"/>
            <w:vAlign w:val="top"/>
          </w:tcPr>
          <w:p w14:paraId="1941B49C" w14:textId="77777777" w:rsidR="00D74E96" w:rsidRPr="008C26DF" w:rsidRDefault="00D74E96" w:rsidP="00494E25">
            <w:pPr>
              <w:pStyle w:val="TableauSchmaOrganigrammecentr"/>
            </w:pPr>
            <w:r w:rsidRPr="008C26DF">
              <w:t>1990</w:t>
            </w:r>
          </w:p>
        </w:tc>
        <w:tc>
          <w:tcPr>
            <w:tcW w:w="0" w:type="auto"/>
            <w:vAlign w:val="top"/>
          </w:tcPr>
          <w:p w14:paraId="08BA72FB" w14:textId="77777777" w:rsidR="00D74E96" w:rsidRPr="008C26DF"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C26DF">
              <w:t>10</w:t>
            </w:r>
            <w:r>
              <w:t> </w:t>
            </w:r>
            <w:r w:rsidRPr="008C26DF">
              <w:t>831</w:t>
            </w:r>
          </w:p>
        </w:tc>
        <w:tc>
          <w:tcPr>
            <w:tcW w:w="0" w:type="auto"/>
            <w:vAlign w:val="top"/>
          </w:tcPr>
          <w:p w14:paraId="73D9C466" w14:textId="77777777" w:rsidR="00D74E96" w:rsidRPr="008C26DF"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C26DF">
              <w:t>35</w:t>
            </w:r>
          </w:p>
        </w:tc>
        <w:tc>
          <w:tcPr>
            <w:tcW w:w="0" w:type="auto"/>
            <w:vAlign w:val="top"/>
          </w:tcPr>
          <w:p w14:paraId="04506642" w14:textId="77777777" w:rsidR="00D74E96" w:rsidRPr="008C26DF"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C26DF">
              <w:t>15</w:t>
            </w:r>
          </w:p>
        </w:tc>
      </w:tr>
      <w:tr w:rsidR="00D74E96" w14:paraId="0EDC7447" w14:textId="77777777" w:rsidTr="008F4486">
        <w:tc>
          <w:tcPr>
            <w:cnfStyle w:val="001000000000" w:firstRow="0" w:lastRow="0" w:firstColumn="1" w:lastColumn="0" w:oddVBand="0" w:evenVBand="0" w:oddHBand="0" w:evenHBand="0" w:firstRowFirstColumn="0" w:firstRowLastColumn="0" w:lastRowFirstColumn="0" w:lastRowLastColumn="0"/>
            <w:tcW w:w="0" w:type="auto"/>
            <w:vAlign w:val="top"/>
          </w:tcPr>
          <w:p w14:paraId="254DA343" w14:textId="77777777" w:rsidR="00D74E96" w:rsidRPr="008C26DF" w:rsidRDefault="00D74E96" w:rsidP="00494E25">
            <w:pPr>
              <w:pStyle w:val="TableauSchmaOrganigrammecentr"/>
            </w:pPr>
            <w:r w:rsidRPr="008C26DF">
              <w:t>2000</w:t>
            </w:r>
          </w:p>
        </w:tc>
        <w:tc>
          <w:tcPr>
            <w:tcW w:w="0" w:type="auto"/>
            <w:vAlign w:val="top"/>
          </w:tcPr>
          <w:p w14:paraId="2E7D0FA4" w14:textId="77777777" w:rsidR="00D74E96" w:rsidRPr="008C26DF"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C26DF">
              <w:t>11</w:t>
            </w:r>
            <w:r>
              <w:t> </w:t>
            </w:r>
            <w:r w:rsidRPr="008C26DF">
              <w:t>162</w:t>
            </w:r>
          </w:p>
        </w:tc>
        <w:tc>
          <w:tcPr>
            <w:tcW w:w="0" w:type="auto"/>
            <w:vAlign w:val="top"/>
          </w:tcPr>
          <w:p w14:paraId="0ECDD94D" w14:textId="77777777" w:rsidR="00D74E96" w:rsidRPr="008C26DF"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C26DF">
              <w:t>36</w:t>
            </w:r>
          </w:p>
        </w:tc>
        <w:tc>
          <w:tcPr>
            <w:tcW w:w="0" w:type="auto"/>
            <w:vAlign w:val="top"/>
          </w:tcPr>
          <w:p w14:paraId="0A1626D5" w14:textId="77777777" w:rsidR="00D74E96" w:rsidRPr="008C26DF"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8C26DF">
              <w:t>11</w:t>
            </w:r>
          </w:p>
        </w:tc>
      </w:tr>
      <w:tr w:rsidR="00D74E96" w14:paraId="16C36F7E" w14:textId="77777777" w:rsidTr="008F4486">
        <w:tc>
          <w:tcPr>
            <w:cnfStyle w:val="001000000000" w:firstRow="0" w:lastRow="0" w:firstColumn="1" w:lastColumn="0" w:oddVBand="0" w:evenVBand="0" w:oddHBand="0" w:evenHBand="0" w:firstRowFirstColumn="0" w:firstRowLastColumn="0" w:lastRowFirstColumn="0" w:lastRowLastColumn="0"/>
            <w:tcW w:w="0" w:type="auto"/>
            <w:vAlign w:val="top"/>
          </w:tcPr>
          <w:p w14:paraId="3A65726E" w14:textId="77777777" w:rsidR="00D74E96" w:rsidRPr="00546ABB" w:rsidRDefault="00D74E96" w:rsidP="00494E25">
            <w:pPr>
              <w:pStyle w:val="TableauSchmaOrganigrammecentr"/>
            </w:pPr>
            <w:r w:rsidRPr="00546ABB">
              <w:t>2010</w:t>
            </w:r>
          </w:p>
        </w:tc>
        <w:tc>
          <w:tcPr>
            <w:tcW w:w="0" w:type="auto"/>
            <w:vAlign w:val="top"/>
          </w:tcPr>
          <w:p w14:paraId="60E3A6FF"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12</w:t>
            </w:r>
            <w:r>
              <w:t> </w:t>
            </w:r>
            <w:r w:rsidRPr="00546ABB">
              <w:t>878</w:t>
            </w:r>
          </w:p>
        </w:tc>
        <w:tc>
          <w:tcPr>
            <w:tcW w:w="0" w:type="auto"/>
            <w:vAlign w:val="top"/>
          </w:tcPr>
          <w:p w14:paraId="188A77F4"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119</w:t>
            </w:r>
          </w:p>
        </w:tc>
        <w:tc>
          <w:tcPr>
            <w:tcW w:w="0" w:type="auto"/>
            <w:vAlign w:val="top"/>
          </w:tcPr>
          <w:p w14:paraId="13289406"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51</w:t>
            </w:r>
          </w:p>
        </w:tc>
      </w:tr>
      <w:tr w:rsidR="00D74E96" w14:paraId="08433D46" w14:textId="77777777" w:rsidTr="008F4486">
        <w:tc>
          <w:tcPr>
            <w:cnfStyle w:val="001000000000" w:firstRow="0" w:lastRow="0" w:firstColumn="1" w:lastColumn="0" w:oddVBand="0" w:evenVBand="0" w:oddHBand="0" w:evenHBand="0" w:firstRowFirstColumn="0" w:firstRowLastColumn="0" w:lastRowFirstColumn="0" w:lastRowLastColumn="0"/>
            <w:tcW w:w="0" w:type="auto"/>
            <w:vAlign w:val="top"/>
          </w:tcPr>
          <w:p w14:paraId="6298E8EC" w14:textId="77777777" w:rsidR="00D74E96" w:rsidRPr="00546ABB" w:rsidRDefault="00D74E96" w:rsidP="00494E25">
            <w:pPr>
              <w:pStyle w:val="TableauSchmaOrganigrammecentr"/>
            </w:pPr>
            <w:r w:rsidRPr="00546ABB">
              <w:t>2019</w:t>
            </w:r>
          </w:p>
        </w:tc>
        <w:tc>
          <w:tcPr>
            <w:tcW w:w="0" w:type="auto"/>
            <w:vAlign w:val="top"/>
          </w:tcPr>
          <w:p w14:paraId="1F2C8FC3"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13</w:t>
            </w:r>
            <w:r>
              <w:t> </w:t>
            </w:r>
            <w:r w:rsidRPr="00546ABB">
              <w:t>150</w:t>
            </w:r>
          </w:p>
        </w:tc>
        <w:tc>
          <w:tcPr>
            <w:tcW w:w="0" w:type="auto"/>
            <w:vAlign w:val="top"/>
          </w:tcPr>
          <w:p w14:paraId="0B93E025"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268</w:t>
            </w:r>
          </w:p>
        </w:tc>
        <w:tc>
          <w:tcPr>
            <w:tcW w:w="0" w:type="auto"/>
            <w:vAlign w:val="top"/>
          </w:tcPr>
          <w:p w14:paraId="430A96AD"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111</w:t>
            </w:r>
          </w:p>
        </w:tc>
      </w:tr>
      <w:tr w:rsidR="00D74E96" w14:paraId="4A27EC34" w14:textId="77777777" w:rsidTr="008F4486">
        <w:tc>
          <w:tcPr>
            <w:cnfStyle w:val="001000000000" w:firstRow="0" w:lastRow="0" w:firstColumn="1" w:lastColumn="0" w:oddVBand="0" w:evenVBand="0" w:oddHBand="0" w:evenHBand="0" w:firstRowFirstColumn="0" w:firstRowLastColumn="0" w:lastRowFirstColumn="0" w:lastRowLastColumn="0"/>
            <w:tcW w:w="0" w:type="auto"/>
            <w:vAlign w:val="top"/>
          </w:tcPr>
          <w:p w14:paraId="1692526A" w14:textId="77777777" w:rsidR="00D74E96" w:rsidRPr="00A76B9D" w:rsidRDefault="00D74E96" w:rsidP="00494E25">
            <w:pPr>
              <w:pStyle w:val="TableauSchmaOrganigrammecentr"/>
            </w:pPr>
            <w:r w:rsidRPr="00A76B9D">
              <w:t>Évolution 2000 à 2010</w:t>
            </w:r>
            <w:r>
              <w:t xml:space="preserve"> (en %)</w:t>
            </w:r>
          </w:p>
        </w:tc>
        <w:tc>
          <w:tcPr>
            <w:tcW w:w="0" w:type="auto"/>
            <w:vAlign w:val="top"/>
          </w:tcPr>
          <w:p w14:paraId="067077E4" w14:textId="77777777" w:rsidR="00D74E96" w:rsidRPr="00A76B9D"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76B9D">
              <w:t>15</w:t>
            </w:r>
            <w:r>
              <w:t> </w:t>
            </w:r>
            <w:r w:rsidRPr="00A76B9D">
              <w:t>%</w:t>
            </w:r>
          </w:p>
        </w:tc>
        <w:tc>
          <w:tcPr>
            <w:tcW w:w="0" w:type="auto"/>
            <w:vAlign w:val="top"/>
          </w:tcPr>
          <w:p w14:paraId="23B40EF7" w14:textId="77777777" w:rsidR="00D74E96" w:rsidRPr="00A76B9D"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76B9D">
              <w:t>231</w:t>
            </w:r>
            <w:r>
              <w:t> </w:t>
            </w:r>
            <w:r w:rsidRPr="00A76B9D">
              <w:t>%</w:t>
            </w:r>
          </w:p>
        </w:tc>
        <w:tc>
          <w:tcPr>
            <w:tcW w:w="0" w:type="auto"/>
            <w:vAlign w:val="top"/>
          </w:tcPr>
          <w:p w14:paraId="4DAEE8DB" w14:textId="77777777" w:rsidR="00D74E96" w:rsidRPr="00A76B9D"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76B9D">
              <w:t>364</w:t>
            </w:r>
            <w:r>
              <w:t> </w:t>
            </w:r>
            <w:r w:rsidRPr="00A76B9D">
              <w:t>%</w:t>
            </w:r>
          </w:p>
        </w:tc>
      </w:tr>
      <w:tr w:rsidR="00D74E96" w14:paraId="7858854E" w14:textId="77777777" w:rsidTr="008F4486">
        <w:tc>
          <w:tcPr>
            <w:cnfStyle w:val="001000000000" w:firstRow="0" w:lastRow="0" w:firstColumn="1" w:lastColumn="0" w:oddVBand="0" w:evenVBand="0" w:oddHBand="0" w:evenHBand="0" w:firstRowFirstColumn="0" w:firstRowLastColumn="0" w:lastRowFirstColumn="0" w:lastRowLastColumn="0"/>
            <w:tcW w:w="0" w:type="auto"/>
            <w:vAlign w:val="top"/>
          </w:tcPr>
          <w:p w14:paraId="789D6E24" w14:textId="77777777" w:rsidR="00D74E96" w:rsidRPr="00546ABB" w:rsidRDefault="00D74E96" w:rsidP="00494E25">
            <w:pPr>
              <w:pStyle w:val="TableauSchmaOrganigrammecentr"/>
            </w:pPr>
            <w:r w:rsidRPr="00546ABB">
              <w:t>Évolution</w:t>
            </w:r>
            <w:r>
              <w:t xml:space="preserve"> 2010 à 2019</w:t>
            </w:r>
            <w:r w:rsidRPr="00546ABB">
              <w:t xml:space="preserve"> </w:t>
            </w:r>
            <w:r>
              <w:t>(en %)</w:t>
            </w:r>
          </w:p>
        </w:tc>
        <w:tc>
          <w:tcPr>
            <w:tcW w:w="0" w:type="auto"/>
            <w:vAlign w:val="top"/>
          </w:tcPr>
          <w:p w14:paraId="4A974075"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2</w:t>
            </w:r>
            <w:r>
              <w:t> </w:t>
            </w:r>
            <w:r w:rsidRPr="00546ABB">
              <w:t>%</w:t>
            </w:r>
          </w:p>
        </w:tc>
        <w:tc>
          <w:tcPr>
            <w:tcW w:w="0" w:type="auto"/>
            <w:vAlign w:val="top"/>
          </w:tcPr>
          <w:p w14:paraId="27909934"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125</w:t>
            </w:r>
            <w:r>
              <w:t> </w:t>
            </w:r>
            <w:r w:rsidRPr="00546ABB">
              <w:t>%</w:t>
            </w:r>
          </w:p>
        </w:tc>
        <w:tc>
          <w:tcPr>
            <w:tcW w:w="0" w:type="auto"/>
            <w:vAlign w:val="top"/>
          </w:tcPr>
          <w:p w14:paraId="71522B6A" w14:textId="77777777" w:rsidR="00D74E96" w:rsidRPr="00546ABB" w:rsidRDefault="00D74E96"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546ABB">
              <w:t>118</w:t>
            </w:r>
            <w:r>
              <w:t> </w:t>
            </w:r>
            <w:r w:rsidRPr="00546ABB">
              <w:t>%</w:t>
            </w:r>
          </w:p>
        </w:tc>
      </w:tr>
    </w:tbl>
    <w:p w14:paraId="76FEEEA7" w14:textId="77777777" w:rsidR="00D74E96" w:rsidRPr="00546ABB" w:rsidRDefault="00D74E96" w:rsidP="00D74E96">
      <w:pPr>
        <w:pStyle w:val="TexteSource"/>
      </w:pPr>
      <w:r>
        <w:t>Source : analyses sémantiques de la Cour appliquées aux données de theses.fr</w:t>
      </w:r>
    </w:p>
    <w:p w14:paraId="1CCEACBC" w14:textId="77777777" w:rsidR="0030128F" w:rsidRDefault="00D74E96" w:rsidP="008F4486">
      <w:pPr>
        <w:pStyle w:val="Titregraphique"/>
      </w:pPr>
      <w:r>
        <w:br w:type="page"/>
      </w:r>
      <w:r w:rsidR="0030128F">
        <w:lastRenderedPageBreak/>
        <w:t> </w:t>
      </w:r>
      <w:r w:rsidR="0030128F" w:rsidRPr="0018346C">
        <w:t xml:space="preserve">Évolution </w:t>
      </w:r>
      <w:r w:rsidR="0030128F">
        <w:t xml:space="preserve">en séries longues </w:t>
      </w:r>
      <w:r w:rsidR="0030128F" w:rsidRPr="0018346C">
        <w:t>des effectifs de docteurs dans le domaine de la recherche pour l’adaptation et en adaptation</w:t>
      </w:r>
    </w:p>
    <w:p w14:paraId="3FC5710D" w14:textId="77777777" w:rsidR="0030128F" w:rsidRDefault="0030128F" w:rsidP="0030128F">
      <w:r w:rsidRPr="00546ABB">
        <w:rPr>
          <w:noProof/>
        </w:rPr>
        <w:drawing>
          <wp:inline distT="0" distB="0" distL="0" distR="0" wp14:anchorId="49624248" wp14:editId="3FECEF68">
            <wp:extent cx="4701396" cy="2950234"/>
            <wp:effectExtent l="0" t="0" r="4445" b="2540"/>
            <wp:docPr id="15" name="Graphique 15">
              <a:extLst xmlns:a="http://schemas.openxmlformats.org/drawingml/2006/main">
                <a:ext uri="{FF2B5EF4-FFF2-40B4-BE49-F238E27FC236}">
                  <a16:creationId xmlns:a16="http://schemas.microsoft.com/office/drawing/2014/main" id="{4A015DC0-F0EB-4640-B2AE-8C52A96F424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148EE7E0" w14:textId="77777777" w:rsidR="0030128F" w:rsidRPr="0018346C" w:rsidRDefault="0030128F" w:rsidP="0030128F">
      <w:pPr>
        <w:pStyle w:val="TexteSource"/>
      </w:pPr>
      <w:r w:rsidRPr="0018346C">
        <w:t>Source : analyses sémantiques de la Cour appliquées aux données de theses.fr</w:t>
      </w:r>
      <w:r>
        <w:t>. Le nombre moyen de thèses soutenues chaque année en France est de l’ordre de 12 000 par an.</w:t>
      </w:r>
    </w:p>
    <w:p w14:paraId="70DE045F" w14:textId="77777777" w:rsidR="00D74E96" w:rsidRDefault="00D74E96">
      <w:pPr>
        <w:spacing w:before="0" w:after="200" w:line="276" w:lineRule="auto"/>
        <w:ind w:firstLine="0"/>
        <w:jc w:val="left"/>
        <w:rPr>
          <w:rFonts w:eastAsiaTheme="majorEastAsia" w:cstheme="majorBidi"/>
          <w:b/>
          <w:bCs/>
          <w:sz w:val="30"/>
          <w:szCs w:val="28"/>
        </w:rPr>
      </w:pPr>
    </w:p>
    <w:p w14:paraId="62449BDB" w14:textId="77777777" w:rsidR="008C6178" w:rsidRDefault="008C6178">
      <w:pPr>
        <w:spacing w:before="0" w:after="200" w:line="276" w:lineRule="auto"/>
        <w:ind w:firstLine="0"/>
        <w:jc w:val="left"/>
        <w:rPr>
          <w:rFonts w:eastAsiaTheme="majorEastAsia" w:cstheme="majorBidi"/>
          <w:b/>
          <w:bCs/>
          <w:sz w:val="30"/>
          <w:szCs w:val="28"/>
        </w:rPr>
      </w:pPr>
      <w:r>
        <w:br w:type="page"/>
      </w:r>
    </w:p>
    <w:p w14:paraId="3D240F2F" w14:textId="7A607A66" w:rsidR="00FD4E6F" w:rsidRDefault="00D3031C" w:rsidP="000F2B93">
      <w:pPr>
        <w:pStyle w:val="Titre1"/>
        <w:jc w:val="center"/>
      </w:pPr>
      <w:bookmarkStart w:id="27" w:name="_Toc160528290"/>
      <w:bookmarkStart w:id="28" w:name="_GoBack"/>
      <w:bookmarkEnd w:id="28"/>
      <w:r>
        <w:lastRenderedPageBreak/>
        <w:t>Infrastructures de recherche pour l’adaptation</w:t>
      </w:r>
      <w:bookmarkEnd w:id="27"/>
    </w:p>
    <w:tbl>
      <w:tblPr>
        <w:tblW w:w="0" w:type="auto"/>
        <w:tblCellMar>
          <w:left w:w="70" w:type="dxa"/>
          <w:right w:w="70" w:type="dxa"/>
        </w:tblCellMar>
        <w:tblLook w:val="04A0" w:firstRow="1" w:lastRow="0" w:firstColumn="1" w:lastColumn="0" w:noHBand="0" w:noVBand="1"/>
      </w:tblPr>
      <w:tblGrid>
        <w:gridCol w:w="1375"/>
        <w:gridCol w:w="1389"/>
        <w:gridCol w:w="2752"/>
        <w:gridCol w:w="1276"/>
        <w:gridCol w:w="1419"/>
        <w:gridCol w:w="849"/>
      </w:tblGrid>
      <w:tr w:rsidR="00195C26" w:rsidRPr="00017070" w14:paraId="0CC14471" w14:textId="7AAB6541" w:rsidTr="00195C26">
        <w:trPr>
          <w:trHeight w:val="1840"/>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40BA1C47" w14:textId="77777777" w:rsidR="00195C26" w:rsidRPr="00017070" w:rsidRDefault="00195C26" w:rsidP="00017070">
            <w:pPr>
              <w:spacing w:before="0" w:after="0"/>
              <w:ind w:firstLine="0"/>
              <w:jc w:val="center"/>
              <w:rPr>
                <w:rFonts w:cs="Times New Roman"/>
                <w:b/>
                <w:bCs/>
                <w:sz w:val="18"/>
                <w:szCs w:val="18"/>
                <w:lang w:eastAsia="fr-FR"/>
              </w:rPr>
            </w:pPr>
            <w:r w:rsidRPr="00017070">
              <w:rPr>
                <w:rFonts w:cs="Times New Roman"/>
                <w:b/>
                <w:bCs/>
                <w:sz w:val="18"/>
                <w:szCs w:val="18"/>
                <w:lang w:eastAsia="fr-FR"/>
              </w:rPr>
              <w:t>Nom de l'infrastructure de recherche</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DB9481" w14:textId="499B0915" w:rsidR="00195C26" w:rsidRPr="00017070" w:rsidRDefault="00195C26" w:rsidP="00017070">
            <w:pPr>
              <w:spacing w:before="0" w:after="0"/>
              <w:ind w:firstLine="0"/>
              <w:jc w:val="center"/>
              <w:rPr>
                <w:rFonts w:cs="Times New Roman"/>
                <w:b/>
                <w:bCs/>
                <w:sz w:val="18"/>
                <w:szCs w:val="18"/>
                <w:lang w:eastAsia="fr-FR"/>
              </w:rPr>
            </w:pPr>
            <w:r w:rsidRPr="00017070">
              <w:rPr>
                <w:rFonts w:cs="Times New Roman"/>
                <w:b/>
                <w:bCs/>
                <w:sz w:val="18"/>
                <w:szCs w:val="18"/>
                <w:lang w:eastAsia="fr-FR"/>
              </w:rPr>
              <w:t xml:space="preserve">Catégorie d'infrastructure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DCE1FF" w14:textId="77777777" w:rsidR="00195C26" w:rsidRPr="00017070" w:rsidRDefault="00195C26" w:rsidP="00017070">
            <w:pPr>
              <w:spacing w:before="0" w:after="0"/>
              <w:ind w:firstLine="0"/>
              <w:jc w:val="left"/>
              <w:rPr>
                <w:rFonts w:cs="Times New Roman"/>
                <w:b/>
                <w:bCs/>
                <w:sz w:val="18"/>
                <w:szCs w:val="18"/>
                <w:lang w:eastAsia="fr-FR"/>
              </w:rPr>
            </w:pPr>
            <w:r w:rsidRPr="00017070">
              <w:rPr>
                <w:rFonts w:cs="Times New Roman"/>
                <w:b/>
                <w:bCs/>
                <w:sz w:val="18"/>
                <w:szCs w:val="18"/>
                <w:lang w:eastAsia="fr-FR"/>
              </w:rPr>
              <w:t>Nature de l'infrastructure (serveurs de calculs, dispositif expérimental, etc.)</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6B1E8" w14:textId="6BF7FDE2" w:rsidR="00195C26" w:rsidRPr="00017070" w:rsidRDefault="00195C26" w:rsidP="00017070">
            <w:pPr>
              <w:spacing w:before="0" w:after="0"/>
              <w:ind w:firstLine="0"/>
              <w:jc w:val="center"/>
              <w:rPr>
                <w:rFonts w:cs="Times New Roman"/>
                <w:b/>
                <w:bCs/>
                <w:sz w:val="18"/>
                <w:szCs w:val="18"/>
                <w:lang w:eastAsia="fr-FR"/>
              </w:rPr>
            </w:pPr>
            <w:r w:rsidRPr="00017070">
              <w:rPr>
                <w:rFonts w:cs="Times New Roman"/>
                <w:b/>
                <w:bCs/>
                <w:sz w:val="18"/>
                <w:szCs w:val="18"/>
                <w:lang w:eastAsia="fr-FR"/>
              </w:rPr>
              <w:t xml:space="preserve"> </w:t>
            </w:r>
            <w:r>
              <w:rPr>
                <w:rFonts w:cs="Times New Roman"/>
                <w:b/>
                <w:bCs/>
                <w:sz w:val="18"/>
                <w:szCs w:val="18"/>
                <w:lang w:eastAsia="fr-FR"/>
              </w:rPr>
              <w:t>I</w:t>
            </w:r>
            <w:r w:rsidRPr="00017070">
              <w:rPr>
                <w:rFonts w:cs="Times New Roman"/>
                <w:b/>
                <w:bCs/>
                <w:sz w:val="18"/>
                <w:szCs w:val="18"/>
                <w:lang w:eastAsia="fr-FR"/>
              </w:rPr>
              <w:t xml:space="preserve">nvestissement initial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373C295" w14:textId="77777777" w:rsidR="00195C26" w:rsidRPr="00017070" w:rsidRDefault="00195C26" w:rsidP="00017070">
            <w:pPr>
              <w:spacing w:before="0" w:after="0"/>
              <w:ind w:firstLine="0"/>
              <w:jc w:val="center"/>
              <w:rPr>
                <w:rFonts w:cs="Times New Roman"/>
                <w:b/>
                <w:bCs/>
                <w:sz w:val="18"/>
                <w:szCs w:val="18"/>
                <w:lang w:eastAsia="fr-FR"/>
              </w:rPr>
            </w:pPr>
            <w:r w:rsidRPr="00017070">
              <w:rPr>
                <w:rFonts w:cs="Times New Roman"/>
                <w:b/>
                <w:bCs/>
                <w:sz w:val="18"/>
                <w:szCs w:val="18"/>
                <w:lang w:eastAsia="fr-FR"/>
              </w:rPr>
              <w:t>Montant moyen (2019-2023) apporté chaque année en fonctionnement depuis la mise en service (en M€)</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FCBBE6" w14:textId="77777777" w:rsidR="00195C26" w:rsidRPr="00017070" w:rsidRDefault="00195C26" w:rsidP="00017070">
            <w:pPr>
              <w:spacing w:before="0" w:after="0"/>
              <w:ind w:firstLine="0"/>
              <w:jc w:val="left"/>
              <w:rPr>
                <w:rFonts w:cs="Times New Roman"/>
                <w:b/>
                <w:bCs/>
                <w:sz w:val="18"/>
                <w:szCs w:val="18"/>
                <w:lang w:eastAsia="fr-FR"/>
              </w:rPr>
            </w:pPr>
            <w:r w:rsidRPr="00017070">
              <w:rPr>
                <w:rFonts w:cs="Times New Roman"/>
                <w:b/>
                <w:bCs/>
                <w:sz w:val="18"/>
                <w:szCs w:val="18"/>
                <w:lang w:eastAsia="fr-FR"/>
              </w:rPr>
              <w:t>Montant moyen annuel incluant les RH (2019 -2023)</w:t>
            </w:r>
          </w:p>
        </w:tc>
      </w:tr>
      <w:tr w:rsidR="00195C26" w:rsidRPr="00017070" w14:paraId="4418F1E8" w14:textId="087ECD3A" w:rsidTr="00195C26">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D6B6D61"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CEPMMT</w:t>
            </w:r>
          </w:p>
        </w:tc>
        <w:tc>
          <w:tcPr>
            <w:tcW w:w="0" w:type="auto"/>
            <w:tcBorders>
              <w:top w:val="nil"/>
              <w:left w:val="nil"/>
              <w:bottom w:val="single" w:sz="4" w:space="0" w:color="auto"/>
              <w:right w:val="single" w:sz="4" w:space="0" w:color="auto"/>
            </w:tcBorders>
            <w:shd w:val="clear" w:color="auto" w:fill="auto"/>
            <w:vAlign w:val="center"/>
            <w:hideMark/>
          </w:tcPr>
          <w:p w14:paraId="4D500345" w14:textId="77777777" w:rsidR="00195C26" w:rsidRPr="00017070" w:rsidRDefault="00195C26" w:rsidP="00017070">
            <w:pPr>
              <w:spacing w:before="0" w:after="0"/>
              <w:ind w:firstLine="0"/>
              <w:jc w:val="center"/>
              <w:rPr>
                <w:rFonts w:cs="Times New Roman"/>
                <w:bCs/>
                <w:sz w:val="20"/>
                <w:szCs w:val="20"/>
                <w:lang w:eastAsia="fr-FR"/>
              </w:rPr>
            </w:pPr>
            <w:r w:rsidRPr="00017070">
              <w:rPr>
                <w:rFonts w:cs="Times New Roman"/>
                <w:bCs/>
                <w:sz w:val="20"/>
                <w:szCs w:val="20"/>
                <w:lang w:eastAsia="fr-FR"/>
              </w:rPr>
              <w:t>OSI</w:t>
            </w:r>
          </w:p>
        </w:tc>
        <w:tc>
          <w:tcPr>
            <w:tcW w:w="0" w:type="auto"/>
            <w:tcBorders>
              <w:top w:val="nil"/>
              <w:left w:val="nil"/>
              <w:bottom w:val="single" w:sz="4" w:space="0" w:color="auto"/>
              <w:right w:val="single" w:sz="4" w:space="0" w:color="auto"/>
            </w:tcBorders>
            <w:shd w:val="clear" w:color="auto" w:fill="auto"/>
            <w:vAlign w:val="center"/>
            <w:hideMark/>
          </w:tcPr>
          <w:p w14:paraId="119A509A"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Organisation, serveurs et moyens de calcul</w:t>
            </w:r>
          </w:p>
        </w:tc>
        <w:tc>
          <w:tcPr>
            <w:tcW w:w="0" w:type="auto"/>
            <w:tcBorders>
              <w:top w:val="nil"/>
              <w:left w:val="nil"/>
              <w:bottom w:val="single" w:sz="4" w:space="0" w:color="auto"/>
              <w:right w:val="single" w:sz="4" w:space="0" w:color="auto"/>
            </w:tcBorders>
            <w:shd w:val="clear" w:color="auto" w:fill="auto"/>
            <w:vAlign w:val="center"/>
            <w:hideMark/>
          </w:tcPr>
          <w:p w14:paraId="6812D1F3" w14:textId="77777777" w:rsidR="00195C26" w:rsidRPr="00017070" w:rsidRDefault="00195C26" w:rsidP="00017070">
            <w:pPr>
              <w:spacing w:before="0" w:after="0"/>
              <w:ind w:firstLine="0"/>
              <w:jc w:val="right"/>
              <w:rPr>
                <w:rFonts w:cs="Times New Roman"/>
                <w:b/>
                <w:bCs/>
                <w:sz w:val="20"/>
                <w:szCs w:val="20"/>
                <w:lang w:eastAsia="fr-FR"/>
              </w:rPr>
            </w:pPr>
            <w:r w:rsidRPr="00017070">
              <w:rPr>
                <w:rFonts w:cs="Times New Roman"/>
                <w:b/>
                <w:bCs/>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350D455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9</w:t>
            </w:r>
          </w:p>
        </w:tc>
        <w:tc>
          <w:tcPr>
            <w:tcW w:w="0" w:type="auto"/>
            <w:tcBorders>
              <w:top w:val="nil"/>
              <w:left w:val="nil"/>
              <w:bottom w:val="single" w:sz="4" w:space="0" w:color="auto"/>
              <w:right w:val="single" w:sz="4" w:space="0" w:color="auto"/>
            </w:tcBorders>
            <w:shd w:val="clear" w:color="auto" w:fill="auto"/>
            <w:vAlign w:val="center"/>
            <w:hideMark/>
          </w:tcPr>
          <w:p w14:paraId="592A3AA7" w14:textId="77777777" w:rsidR="00195C26" w:rsidRPr="00017070" w:rsidRDefault="00195C26" w:rsidP="00017070">
            <w:pPr>
              <w:spacing w:before="0" w:after="0"/>
              <w:ind w:firstLine="0"/>
              <w:jc w:val="right"/>
              <w:rPr>
                <w:rFonts w:cs="Times New Roman"/>
                <w:b/>
                <w:bCs/>
                <w:sz w:val="20"/>
                <w:szCs w:val="20"/>
                <w:lang w:eastAsia="fr-FR"/>
              </w:rPr>
            </w:pPr>
            <w:r w:rsidRPr="00017070">
              <w:rPr>
                <w:rFonts w:cs="Times New Roman"/>
                <w:b/>
                <w:bCs/>
                <w:sz w:val="20"/>
                <w:szCs w:val="20"/>
                <w:lang w:eastAsia="fr-FR"/>
              </w:rPr>
              <w:t> </w:t>
            </w:r>
          </w:p>
        </w:tc>
      </w:tr>
      <w:tr w:rsidR="00195C26" w:rsidRPr="00017070" w14:paraId="5D54C8AF" w14:textId="454152EE" w:rsidTr="00195C26">
        <w:trPr>
          <w:trHeight w:val="801"/>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0537F0"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ICOS</w:t>
            </w:r>
          </w:p>
        </w:tc>
        <w:tc>
          <w:tcPr>
            <w:tcW w:w="0" w:type="auto"/>
            <w:tcBorders>
              <w:top w:val="nil"/>
              <w:left w:val="nil"/>
              <w:bottom w:val="single" w:sz="4" w:space="0" w:color="auto"/>
              <w:right w:val="single" w:sz="4" w:space="0" w:color="auto"/>
            </w:tcBorders>
            <w:shd w:val="clear" w:color="auto" w:fill="auto"/>
            <w:noWrap/>
            <w:vAlign w:val="center"/>
            <w:hideMark/>
          </w:tcPr>
          <w:p w14:paraId="3F3F9FD2"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06E30685" w14:textId="5669056E"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 xml:space="preserve">Infrastructure distribuée, dispositifs standardisés de mesure de gaz à effets de serre de haute </w:t>
            </w:r>
            <w:r w:rsidR="001C1832" w:rsidRPr="00017070">
              <w:rPr>
                <w:rFonts w:cs="Times New Roman"/>
                <w:sz w:val="20"/>
                <w:szCs w:val="20"/>
                <w:lang w:eastAsia="fr-FR"/>
              </w:rPr>
              <w:t>précision</w:t>
            </w:r>
            <w:r w:rsidRPr="00017070">
              <w:rPr>
                <w:rFonts w:cs="Times New Roman"/>
                <w:sz w:val="20"/>
                <w:szCs w:val="20"/>
                <w:lang w:eastAsia="fr-FR"/>
              </w:rPr>
              <w:t>, compréhension cycle du carbone et impact sur le climat</w:t>
            </w:r>
          </w:p>
        </w:tc>
        <w:tc>
          <w:tcPr>
            <w:tcW w:w="0" w:type="auto"/>
            <w:tcBorders>
              <w:top w:val="nil"/>
              <w:left w:val="nil"/>
              <w:bottom w:val="single" w:sz="4" w:space="0" w:color="auto"/>
              <w:right w:val="single" w:sz="4" w:space="0" w:color="auto"/>
            </w:tcBorders>
            <w:shd w:val="clear" w:color="auto" w:fill="auto"/>
            <w:vAlign w:val="center"/>
            <w:hideMark/>
          </w:tcPr>
          <w:p w14:paraId="4E7DDDE1"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10</w:t>
            </w:r>
          </w:p>
        </w:tc>
        <w:tc>
          <w:tcPr>
            <w:tcW w:w="0" w:type="auto"/>
            <w:tcBorders>
              <w:top w:val="nil"/>
              <w:left w:val="nil"/>
              <w:bottom w:val="single" w:sz="4" w:space="0" w:color="auto"/>
              <w:right w:val="single" w:sz="4" w:space="0" w:color="auto"/>
            </w:tcBorders>
            <w:shd w:val="clear" w:color="auto" w:fill="auto"/>
            <w:noWrap/>
            <w:vAlign w:val="center"/>
            <w:hideMark/>
          </w:tcPr>
          <w:p w14:paraId="4DB5D81B"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3</w:t>
            </w:r>
          </w:p>
        </w:tc>
        <w:tc>
          <w:tcPr>
            <w:tcW w:w="0" w:type="auto"/>
            <w:tcBorders>
              <w:top w:val="nil"/>
              <w:left w:val="nil"/>
              <w:bottom w:val="single" w:sz="4" w:space="0" w:color="auto"/>
              <w:right w:val="single" w:sz="4" w:space="0" w:color="auto"/>
            </w:tcBorders>
            <w:shd w:val="clear" w:color="auto" w:fill="auto"/>
            <w:noWrap/>
            <w:vAlign w:val="center"/>
            <w:hideMark/>
          </w:tcPr>
          <w:p w14:paraId="543055B4"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6</w:t>
            </w:r>
          </w:p>
        </w:tc>
      </w:tr>
      <w:tr w:rsidR="00195C26" w:rsidRPr="00017070" w14:paraId="41B89341" w14:textId="2A1BE914" w:rsidTr="00195C26">
        <w:trPr>
          <w:trHeight w:val="334"/>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8A3C9CD"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CONCORDIA</w:t>
            </w:r>
          </w:p>
        </w:tc>
        <w:tc>
          <w:tcPr>
            <w:tcW w:w="0" w:type="auto"/>
            <w:tcBorders>
              <w:top w:val="nil"/>
              <w:left w:val="nil"/>
              <w:bottom w:val="single" w:sz="4" w:space="0" w:color="auto"/>
              <w:right w:val="single" w:sz="4" w:space="0" w:color="auto"/>
            </w:tcBorders>
            <w:shd w:val="clear" w:color="auto" w:fill="auto"/>
            <w:vAlign w:val="center"/>
            <w:hideMark/>
          </w:tcPr>
          <w:p w14:paraId="5E818A59"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2AA5601C" w14:textId="160228D3"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 xml:space="preserve">Station franco-italienne en </w:t>
            </w:r>
            <w:r w:rsidR="001C1832" w:rsidRPr="00017070">
              <w:rPr>
                <w:rFonts w:cs="Times New Roman"/>
                <w:sz w:val="20"/>
                <w:szCs w:val="20"/>
                <w:lang w:eastAsia="fr-FR"/>
              </w:rPr>
              <w:t>Antarctique</w:t>
            </w:r>
          </w:p>
        </w:tc>
        <w:tc>
          <w:tcPr>
            <w:tcW w:w="0" w:type="auto"/>
            <w:tcBorders>
              <w:top w:val="nil"/>
              <w:left w:val="nil"/>
              <w:bottom w:val="single" w:sz="4" w:space="0" w:color="auto"/>
              <w:right w:val="single" w:sz="4" w:space="0" w:color="auto"/>
            </w:tcBorders>
            <w:shd w:val="clear" w:color="auto" w:fill="auto"/>
            <w:noWrap/>
            <w:vAlign w:val="bottom"/>
            <w:hideMark/>
          </w:tcPr>
          <w:p w14:paraId="2564DB9B"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29497D16"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6</w:t>
            </w:r>
          </w:p>
        </w:tc>
        <w:tc>
          <w:tcPr>
            <w:tcW w:w="0" w:type="auto"/>
            <w:tcBorders>
              <w:top w:val="nil"/>
              <w:left w:val="nil"/>
              <w:bottom w:val="single" w:sz="4" w:space="0" w:color="auto"/>
              <w:right w:val="single" w:sz="4" w:space="0" w:color="auto"/>
            </w:tcBorders>
            <w:shd w:val="clear" w:color="auto" w:fill="auto"/>
            <w:vAlign w:val="center"/>
            <w:hideMark/>
          </w:tcPr>
          <w:p w14:paraId="03507C2E"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0F8C0901" w14:textId="3746DB1B" w:rsidTr="00195C26">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0F5F456"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FOF</w:t>
            </w:r>
          </w:p>
        </w:tc>
        <w:tc>
          <w:tcPr>
            <w:tcW w:w="0" w:type="auto"/>
            <w:tcBorders>
              <w:top w:val="nil"/>
              <w:left w:val="nil"/>
              <w:bottom w:val="single" w:sz="4" w:space="0" w:color="auto"/>
              <w:right w:val="single" w:sz="4" w:space="0" w:color="auto"/>
            </w:tcBorders>
            <w:shd w:val="clear" w:color="auto" w:fill="auto"/>
            <w:vAlign w:val="center"/>
            <w:hideMark/>
          </w:tcPr>
          <w:p w14:paraId="56AB8246"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0CB19B03"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Flotte océanographique française (FOF)navires océanographiques, robots sous-marins, flotteurs</w:t>
            </w:r>
          </w:p>
        </w:tc>
        <w:tc>
          <w:tcPr>
            <w:tcW w:w="0" w:type="auto"/>
            <w:tcBorders>
              <w:top w:val="nil"/>
              <w:left w:val="nil"/>
              <w:bottom w:val="single" w:sz="4" w:space="0" w:color="auto"/>
              <w:right w:val="single" w:sz="4" w:space="0" w:color="auto"/>
            </w:tcBorders>
            <w:shd w:val="clear" w:color="auto" w:fill="auto"/>
            <w:vAlign w:val="center"/>
            <w:hideMark/>
          </w:tcPr>
          <w:p w14:paraId="149484EE"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20BC52D7"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69</w:t>
            </w:r>
          </w:p>
        </w:tc>
        <w:tc>
          <w:tcPr>
            <w:tcW w:w="0" w:type="auto"/>
            <w:tcBorders>
              <w:top w:val="nil"/>
              <w:left w:val="nil"/>
              <w:bottom w:val="single" w:sz="4" w:space="0" w:color="auto"/>
              <w:right w:val="single" w:sz="4" w:space="0" w:color="auto"/>
            </w:tcBorders>
            <w:shd w:val="clear" w:color="auto" w:fill="auto"/>
            <w:noWrap/>
            <w:vAlign w:val="bottom"/>
            <w:hideMark/>
          </w:tcPr>
          <w:p w14:paraId="73C2B44E"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69FAE05F" w14:textId="03838164" w:rsidTr="00195C26">
        <w:trPr>
          <w:trHeight w:val="4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4217CD"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ACTRIS</w:t>
            </w:r>
          </w:p>
        </w:tc>
        <w:tc>
          <w:tcPr>
            <w:tcW w:w="0" w:type="auto"/>
            <w:tcBorders>
              <w:top w:val="nil"/>
              <w:left w:val="nil"/>
              <w:bottom w:val="single" w:sz="4" w:space="0" w:color="auto"/>
              <w:right w:val="single" w:sz="4" w:space="0" w:color="auto"/>
            </w:tcBorders>
            <w:shd w:val="clear" w:color="auto" w:fill="auto"/>
            <w:noWrap/>
            <w:vAlign w:val="center"/>
            <w:hideMark/>
          </w:tcPr>
          <w:p w14:paraId="2497BBF0"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6C119CF5"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distribuée, dispositifs de d'observation et d'expérimentation, composition atmosphère</w:t>
            </w:r>
          </w:p>
        </w:tc>
        <w:tc>
          <w:tcPr>
            <w:tcW w:w="0" w:type="auto"/>
            <w:tcBorders>
              <w:top w:val="nil"/>
              <w:left w:val="nil"/>
              <w:bottom w:val="single" w:sz="4" w:space="0" w:color="auto"/>
              <w:right w:val="single" w:sz="4" w:space="0" w:color="auto"/>
            </w:tcBorders>
            <w:shd w:val="clear" w:color="auto" w:fill="auto"/>
            <w:vAlign w:val="center"/>
            <w:hideMark/>
          </w:tcPr>
          <w:p w14:paraId="7ABF5ABC"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w:t>
            </w:r>
          </w:p>
        </w:tc>
        <w:tc>
          <w:tcPr>
            <w:tcW w:w="0" w:type="auto"/>
            <w:tcBorders>
              <w:top w:val="nil"/>
              <w:left w:val="nil"/>
              <w:bottom w:val="single" w:sz="4" w:space="0" w:color="auto"/>
              <w:right w:val="single" w:sz="4" w:space="0" w:color="auto"/>
            </w:tcBorders>
            <w:shd w:val="clear" w:color="auto" w:fill="auto"/>
            <w:noWrap/>
            <w:vAlign w:val="center"/>
            <w:hideMark/>
          </w:tcPr>
          <w:p w14:paraId="1A08E8B1"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w:t>
            </w:r>
          </w:p>
        </w:tc>
        <w:tc>
          <w:tcPr>
            <w:tcW w:w="0" w:type="auto"/>
            <w:tcBorders>
              <w:top w:val="nil"/>
              <w:left w:val="nil"/>
              <w:bottom w:val="single" w:sz="4" w:space="0" w:color="auto"/>
              <w:right w:val="single" w:sz="4" w:space="0" w:color="auto"/>
            </w:tcBorders>
            <w:shd w:val="clear" w:color="auto" w:fill="auto"/>
            <w:noWrap/>
            <w:vAlign w:val="center"/>
            <w:hideMark/>
          </w:tcPr>
          <w:p w14:paraId="62D394A8"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8</w:t>
            </w:r>
          </w:p>
        </w:tc>
      </w:tr>
      <w:tr w:rsidR="00195C26" w:rsidRPr="00017070" w14:paraId="3D307FA1" w14:textId="18C38246" w:rsidTr="00195C26">
        <w:trPr>
          <w:trHeight w:val="5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7E9991"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OZCAR</w:t>
            </w:r>
          </w:p>
        </w:tc>
        <w:tc>
          <w:tcPr>
            <w:tcW w:w="0" w:type="auto"/>
            <w:tcBorders>
              <w:top w:val="nil"/>
              <w:left w:val="nil"/>
              <w:bottom w:val="single" w:sz="4" w:space="0" w:color="auto"/>
              <w:right w:val="single" w:sz="4" w:space="0" w:color="auto"/>
            </w:tcBorders>
            <w:shd w:val="clear" w:color="auto" w:fill="auto"/>
            <w:noWrap/>
            <w:vAlign w:val="center"/>
            <w:hideMark/>
          </w:tcPr>
          <w:p w14:paraId="0BD62F96"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32EC5427"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distribuée, observation et à étude de la zone critique, dispositifs de mesures sur sites</w:t>
            </w:r>
          </w:p>
        </w:tc>
        <w:tc>
          <w:tcPr>
            <w:tcW w:w="0" w:type="auto"/>
            <w:tcBorders>
              <w:top w:val="nil"/>
              <w:left w:val="nil"/>
              <w:bottom w:val="single" w:sz="4" w:space="0" w:color="auto"/>
              <w:right w:val="single" w:sz="4" w:space="0" w:color="auto"/>
            </w:tcBorders>
            <w:shd w:val="clear" w:color="auto" w:fill="auto"/>
            <w:vAlign w:val="center"/>
            <w:hideMark/>
          </w:tcPr>
          <w:p w14:paraId="2F651AA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23</w:t>
            </w:r>
          </w:p>
        </w:tc>
        <w:tc>
          <w:tcPr>
            <w:tcW w:w="0" w:type="auto"/>
            <w:tcBorders>
              <w:top w:val="nil"/>
              <w:left w:val="nil"/>
              <w:bottom w:val="single" w:sz="4" w:space="0" w:color="auto"/>
              <w:right w:val="single" w:sz="4" w:space="0" w:color="auto"/>
            </w:tcBorders>
            <w:shd w:val="clear" w:color="auto" w:fill="auto"/>
            <w:noWrap/>
            <w:vAlign w:val="center"/>
            <w:hideMark/>
          </w:tcPr>
          <w:p w14:paraId="54BC8B9A"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5</w:t>
            </w:r>
          </w:p>
        </w:tc>
        <w:tc>
          <w:tcPr>
            <w:tcW w:w="0" w:type="auto"/>
            <w:tcBorders>
              <w:top w:val="nil"/>
              <w:left w:val="nil"/>
              <w:bottom w:val="single" w:sz="4" w:space="0" w:color="auto"/>
              <w:right w:val="single" w:sz="4" w:space="0" w:color="auto"/>
            </w:tcBorders>
            <w:shd w:val="clear" w:color="auto" w:fill="auto"/>
            <w:noWrap/>
            <w:vAlign w:val="center"/>
            <w:hideMark/>
          </w:tcPr>
          <w:p w14:paraId="6044745A"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13</w:t>
            </w:r>
          </w:p>
        </w:tc>
      </w:tr>
      <w:tr w:rsidR="00195C26" w:rsidRPr="00017070" w14:paraId="7A647069" w14:textId="30F6D89A" w:rsidTr="00195C26">
        <w:trPr>
          <w:trHeight w:val="5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9D22A7"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ARGO</w:t>
            </w:r>
          </w:p>
        </w:tc>
        <w:tc>
          <w:tcPr>
            <w:tcW w:w="0" w:type="auto"/>
            <w:tcBorders>
              <w:top w:val="nil"/>
              <w:left w:val="nil"/>
              <w:bottom w:val="single" w:sz="4" w:space="0" w:color="auto"/>
              <w:right w:val="single" w:sz="4" w:space="0" w:color="auto"/>
            </w:tcBorders>
            <w:shd w:val="clear" w:color="auto" w:fill="auto"/>
            <w:noWrap/>
            <w:vAlign w:val="center"/>
            <w:hideMark/>
          </w:tcPr>
          <w:p w14:paraId="0F470802"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330AF611"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distribuée, Réseau global d'observation de l'océan en temps réel, flotteurs</w:t>
            </w:r>
          </w:p>
        </w:tc>
        <w:tc>
          <w:tcPr>
            <w:tcW w:w="0" w:type="auto"/>
            <w:tcBorders>
              <w:top w:val="nil"/>
              <w:left w:val="nil"/>
              <w:bottom w:val="single" w:sz="4" w:space="0" w:color="auto"/>
              <w:right w:val="single" w:sz="4" w:space="0" w:color="auto"/>
            </w:tcBorders>
            <w:shd w:val="clear" w:color="auto" w:fill="auto"/>
            <w:vAlign w:val="center"/>
            <w:hideMark/>
          </w:tcPr>
          <w:p w14:paraId="468EACA3"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10</w:t>
            </w:r>
          </w:p>
        </w:tc>
        <w:tc>
          <w:tcPr>
            <w:tcW w:w="0" w:type="auto"/>
            <w:tcBorders>
              <w:top w:val="nil"/>
              <w:left w:val="nil"/>
              <w:bottom w:val="single" w:sz="4" w:space="0" w:color="auto"/>
              <w:right w:val="single" w:sz="4" w:space="0" w:color="auto"/>
            </w:tcBorders>
            <w:shd w:val="clear" w:color="auto" w:fill="auto"/>
            <w:noWrap/>
            <w:vAlign w:val="center"/>
            <w:hideMark/>
          </w:tcPr>
          <w:p w14:paraId="6A81C77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w:t>
            </w:r>
          </w:p>
        </w:tc>
        <w:tc>
          <w:tcPr>
            <w:tcW w:w="0" w:type="auto"/>
            <w:tcBorders>
              <w:top w:val="nil"/>
              <w:left w:val="nil"/>
              <w:bottom w:val="single" w:sz="4" w:space="0" w:color="auto"/>
              <w:right w:val="single" w:sz="4" w:space="0" w:color="auto"/>
            </w:tcBorders>
            <w:shd w:val="clear" w:color="auto" w:fill="auto"/>
            <w:noWrap/>
            <w:vAlign w:val="center"/>
            <w:hideMark/>
          </w:tcPr>
          <w:p w14:paraId="0FCE5A21"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3</w:t>
            </w:r>
          </w:p>
        </w:tc>
      </w:tr>
      <w:tr w:rsidR="00195C26" w:rsidRPr="00017070" w14:paraId="18141CD7" w14:textId="49B2CB0D" w:rsidTr="00195C26">
        <w:trPr>
          <w:trHeight w:val="484"/>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3976D5"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ILICO</w:t>
            </w:r>
          </w:p>
        </w:tc>
        <w:tc>
          <w:tcPr>
            <w:tcW w:w="0" w:type="auto"/>
            <w:tcBorders>
              <w:top w:val="nil"/>
              <w:left w:val="nil"/>
              <w:bottom w:val="single" w:sz="4" w:space="0" w:color="auto"/>
              <w:right w:val="single" w:sz="4" w:space="0" w:color="auto"/>
            </w:tcBorders>
            <w:shd w:val="clear" w:color="auto" w:fill="auto"/>
            <w:noWrap/>
            <w:vAlign w:val="center"/>
            <w:hideMark/>
          </w:tcPr>
          <w:p w14:paraId="0990D1FA"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13D41C65"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distribuée, dispositifs de mesure et d'observations des milieux littoraux et côtiers</w:t>
            </w:r>
          </w:p>
        </w:tc>
        <w:tc>
          <w:tcPr>
            <w:tcW w:w="0" w:type="auto"/>
            <w:tcBorders>
              <w:top w:val="nil"/>
              <w:left w:val="nil"/>
              <w:bottom w:val="single" w:sz="4" w:space="0" w:color="auto"/>
              <w:right w:val="single" w:sz="4" w:space="0" w:color="auto"/>
            </w:tcBorders>
            <w:shd w:val="clear" w:color="auto" w:fill="auto"/>
            <w:vAlign w:val="center"/>
            <w:hideMark/>
          </w:tcPr>
          <w:p w14:paraId="4B52077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5</w:t>
            </w:r>
          </w:p>
        </w:tc>
        <w:tc>
          <w:tcPr>
            <w:tcW w:w="0" w:type="auto"/>
            <w:tcBorders>
              <w:top w:val="nil"/>
              <w:left w:val="nil"/>
              <w:bottom w:val="single" w:sz="4" w:space="0" w:color="auto"/>
              <w:right w:val="single" w:sz="4" w:space="0" w:color="auto"/>
            </w:tcBorders>
            <w:shd w:val="clear" w:color="auto" w:fill="auto"/>
            <w:noWrap/>
            <w:vAlign w:val="center"/>
            <w:hideMark/>
          </w:tcPr>
          <w:p w14:paraId="24F6141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w:t>
            </w:r>
          </w:p>
        </w:tc>
        <w:tc>
          <w:tcPr>
            <w:tcW w:w="0" w:type="auto"/>
            <w:tcBorders>
              <w:top w:val="nil"/>
              <w:left w:val="nil"/>
              <w:bottom w:val="single" w:sz="4" w:space="0" w:color="auto"/>
              <w:right w:val="single" w:sz="4" w:space="0" w:color="auto"/>
            </w:tcBorders>
            <w:shd w:val="clear" w:color="auto" w:fill="auto"/>
            <w:noWrap/>
            <w:vAlign w:val="center"/>
            <w:hideMark/>
          </w:tcPr>
          <w:p w14:paraId="0F6E5DE0"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10</w:t>
            </w:r>
          </w:p>
        </w:tc>
      </w:tr>
      <w:tr w:rsidR="00195C26" w:rsidRPr="00017070" w14:paraId="7F1AAEE8" w14:textId="7E9D30EA" w:rsidTr="00195C26">
        <w:trPr>
          <w:trHeight w:val="1688"/>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A31C00"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IAGOS</w:t>
            </w:r>
          </w:p>
        </w:tc>
        <w:tc>
          <w:tcPr>
            <w:tcW w:w="0" w:type="auto"/>
            <w:tcBorders>
              <w:top w:val="nil"/>
              <w:left w:val="nil"/>
              <w:bottom w:val="single" w:sz="4" w:space="0" w:color="auto"/>
              <w:right w:val="single" w:sz="4" w:space="0" w:color="auto"/>
            </w:tcBorders>
            <w:shd w:val="clear" w:color="auto" w:fill="auto"/>
            <w:noWrap/>
            <w:vAlign w:val="center"/>
            <w:hideMark/>
          </w:tcPr>
          <w:p w14:paraId="4A76192C"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2FB0796A" w14:textId="1DB02199"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distribuée (échelle globale) pour la composition de l'atmosphère utilisant des dispositifs de mesures automatiques embarqués sur une flotte d'avions commerciaux (Airbus). Observations in-situ depuis 1994. Base de données unique au monde pour la description de toute la troposphère (essentiel pour la qualité de l'air et climat), contribuant au service Atmosph</w:t>
            </w:r>
            <w:r>
              <w:rPr>
                <w:rFonts w:cs="Times New Roman"/>
                <w:sz w:val="20"/>
                <w:szCs w:val="20"/>
                <w:lang w:eastAsia="fr-FR"/>
              </w:rPr>
              <w:t>è</w:t>
            </w:r>
            <w:r w:rsidRPr="00017070">
              <w:rPr>
                <w:rFonts w:cs="Times New Roman"/>
                <w:sz w:val="20"/>
                <w:szCs w:val="20"/>
                <w:lang w:eastAsia="fr-FR"/>
              </w:rPr>
              <w:t>re de Copernicus.</w:t>
            </w:r>
          </w:p>
        </w:tc>
        <w:tc>
          <w:tcPr>
            <w:tcW w:w="0" w:type="auto"/>
            <w:tcBorders>
              <w:top w:val="nil"/>
              <w:left w:val="nil"/>
              <w:bottom w:val="single" w:sz="4" w:space="0" w:color="auto"/>
              <w:right w:val="single" w:sz="4" w:space="0" w:color="auto"/>
            </w:tcBorders>
            <w:shd w:val="clear" w:color="auto" w:fill="auto"/>
            <w:vAlign w:val="center"/>
            <w:hideMark/>
          </w:tcPr>
          <w:p w14:paraId="202E957A"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5</w:t>
            </w:r>
          </w:p>
        </w:tc>
        <w:tc>
          <w:tcPr>
            <w:tcW w:w="0" w:type="auto"/>
            <w:tcBorders>
              <w:top w:val="nil"/>
              <w:left w:val="nil"/>
              <w:bottom w:val="single" w:sz="4" w:space="0" w:color="auto"/>
              <w:right w:val="single" w:sz="4" w:space="0" w:color="auto"/>
            </w:tcBorders>
            <w:shd w:val="clear" w:color="auto" w:fill="auto"/>
            <w:noWrap/>
            <w:vAlign w:val="center"/>
            <w:hideMark/>
          </w:tcPr>
          <w:p w14:paraId="3629251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w:t>
            </w:r>
          </w:p>
        </w:tc>
        <w:tc>
          <w:tcPr>
            <w:tcW w:w="0" w:type="auto"/>
            <w:tcBorders>
              <w:top w:val="nil"/>
              <w:left w:val="nil"/>
              <w:bottom w:val="single" w:sz="4" w:space="0" w:color="auto"/>
              <w:right w:val="single" w:sz="4" w:space="0" w:color="auto"/>
            </w:tcBorders>
            <w:shd w:val="clear" w:color="auto" w:fill="auto"/>
            <w:noWrap/>
            <w:vAlign w:val="center"/>
            <w:hideMark/>
          </w:tcPr>
          <w:p w14:paraId="6381A16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w:t>
            </w:r>
          </w:p>
        </w:tc>
      </w:tr>
      <w:tr w:rsidR="00195C26" w:rsidRPr="00017070" w14:paraId="0E08D9DB" w14:textId="3A1B4513" w:rsidTr="00195C26">
        <w:trPr>
          <w:trHeight w:val="7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B4F218"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lastRenderedPageBreak/>
              <w:t>DATATERRA</w:t>
            </w:r>
          </w:p>
        </w:tc>
        <w:tc>
          <w:tcPr>
            <w:tcW w:w="0" w:type="auto"/>
            <w:tcBorders>
              <w:top w:val="nil"/>
              <w:left w:val="nil"/>
              <w:bottom w:val="single" w:sz="4" w:space="0" w:color="auto"/>
              <w:right w:val="single" w:sz="4" w:space="0" w:color="auto"/>
            </w:tcBorders>
            <w:shd w:val="clear" w:color="auto" w:fill="auto"/>
            <w:noWrap/>
            <w:vAlign w:val="center"/>
            <w:hideMark/>
          </w:tcPr>
          <w:p w14:paraId="61B84747"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75935059" w14:textId="6BE4F4A6" w:rsidR="00195C26" w:rsidRPr="00017070" w:rsidRDefault="00195C26" w:rsidP="00017070">
            <w:pPr>
              <w:spacing w:before="0" w:after="0"/>
              <w:ind w:firstLine="0"/>
              <w:jc w:val="left"/>
              <w:rPr>
                <w:rFonts w:cs="Times New Roman"/>
                <w:sz w:val="20"/>
                <w:szCs w:val="20"/>
                <w:lang w:eastAsia="fr-FR"/>
              </w:rPr>
            </w:pPr>
            <w:proofErr w:type="gramStart"/>
            <w:r w:rsidRPr="00017070">
              <w:rPr>
                <w:rFonts w:cs="Times New Roman"/>
                <w:sz w:val="20"/>
                <w:szCs w:val="20"/>
                <w:lang w:eastAsia="fr-FR"/>
              </w:rPr>
              <w:t>e</w:t>
            </w:r>
            <w:proofErr w:type="gramEnd"/>
            <w:r w:rsidRPr="00017070">
              <w:rPr>
                <w:rFonts w:cs="Times New Roman"/>
                <w:sz w:val="20"/>
                <w:szCs w:val="20"/>
                <w:lang w:eastAsia="fr-FR"/>
              </w:rPr>
              <w:t xml:space="preserve">-infra / </w:t>
            </w:r>
            <w:r w:rsidR="001C1832" w:rsidRPr="00017070">
              <w:rPr>
                <w:rFonts w:cs="Times New Roman"/>
                <w:sz w:val="20"/>
                <w:szCs w:val="20"/>
                <w:lang w:eastAsia="fr-FR"/>
              </w:rPr>
              <w:t>pôles</w:t>
            </w:r>
            <w:r w:rsidRPr="00017070">
              <w:rPr>
                <w:rFonts w:cs="Times New Roman"/>
                <w:sz w:val="20"/>
                <w:szCs w:val="20"/>
                <w:lang w:eastAsia="fr-FR"/>
              </w:rPr>
              <w:t xml:space="preserve"> de données et e-services.</w:t>
            </w:r>
            <w:r w:rsidRPr="00017070">
              <w:rPr>
                <w:rFonts w:cs="Times New Roman"/>
                <w:sz w:val="20"/>
                <w:szCs w:val="20"/>
                <w:lang w:eastAsia="fr-FR"/>
              </w:rPr>
              <w:br/>
              <w:t>Point d'accès aux données d'observation de la Terre dans le respect de science ouverte</w:t>
            </w:r>
          </w:p>
        </w:tc>
        <w:tc>
          <w:tcPr>
            <w:tcW w:w="0" w:type="auto"/>
            <w:tcBorders>
              <w:top w:val="nil"/>
              <w:left w:val="nil"/>
              <w:bottom w:val="single" w:sz="4" w:space="0" w:color="auto"/>
              <w:right w:val="single" w:sz="4" w:space="0" w:color="auto"/>
            </w:tcBorders>
            <w:shd w:val="clear" w:color="auto" w:fill="auto"/>
            <w:vAlign w:val="center"/>
            <w:hideMark/>
          </w:tcPr>
          <w:p w14:paraId="2F7E5334"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1C4AC8E3"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11</w:t>
            </w:r>
          </w:p>
        </w:tc>
        <w:tc>
          <w:tcPr>
            <w:tcW w:w="0" w:type="auto"/>
            <w:tcBorders>
              <w:top w:val="nil"/>
              <w:left w:val="nil"/>
              <w:bottom w:val="single" w:sz="4" w:space="0" w:color="auto"/>
              <w:right w:val="single" w:sz="4" w:space="0" w:color="auto"/>
            </w:tcBorders>
            <w:shd w:val="clear" w:color="auto" w:fill="auto"/>
            <w:noWrap/>
            <w:vAlign w:val="center"/>
            <w:hideMark/>
          </w:tcPr>
          <w:p w14:paraId="7C095B84"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24</w:t>
            </w:r>
          </w:p>
        </w:tc>
      </w:tr>
      <w:tr w:rsidR="00195C26" w:rsidRPr="00017070" w14:paraId="40583D39" w14:textId="52370CE9" w:rsidTr="00195C26">
        <w:trPr>
          <w:trHeight w:val="313"/>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9A66A0"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RZA</w:t>
            </w:r>
          </w:p>
        </w:tc>
        <w:tc>
          <w:tcPr>
            <w:tcW w:w="0" w:type="auto"/>
            <w:tcBorders>
              <w:top w:val="nil"/>
              <w:left w:val="nil"/>
              <w:bottom w:val="single" w:sz="4" w:space="0" w:color="auto"/>
              <w:right w:val="single" w:sz="4" w:space="0" w:color="auto"/>
            </w:tcBorders>
            <w:shd w:val="clear" w:color="auto" w:fill="auto"/>
            <w:noWrap/>
            <w:vAlign w:val="center"/>
            <w:hideMark/>
          </w:tcPr>
          <w:p w14:paraId="325FC737"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1F6A6093"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distribuée pour l'étude de socio-écosystèmes</w:t>
            </w:r>
          </w:p>
        </w:tc>
        <w:tc>
          <w:tcPr>
            <w:tcW w:w="0" w:type="auto"/>
            <w:tcBorders>
              <w:top w:val="nil"/>
              <w:left w:val="nil"/>
              <w:bottom w:val="single" w:sz="4" w:space="0" w:color="auto"/>
              <w:right w:val="single" w:sz="4" w:space="0" w:color="auto"/>
            </w:tcBorders>
            <w:shd w:val="clear" w:color="auto" w:fill="auto"/>
            <w:vAlign w:val="center"/>
            <w:hideMark/>
          </w:tcPr>
          <w:p w14:paraId="4F07A7D7"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73BEC50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19</w:t>
            </w:r>
          </w:p>
        </w:tc>
        <w:tc>
          <w:tcPr>
            <w:tcW w:w="0" w:type="auto"/>
            <w:tcBorders>
              <w:top w:val="nil"/>
              <w:left w:val="nil"/>
              <w:bottom w:val="single" w:sz="4" w:space="0" w:color="auto"/>
              <w:right w:val="single" w:sz="4" w:space="0" w:color="auto"/>
            </w:tcBorders>
            <w:shd w:val="clear" w:color="auto" w:fill="auto"/>
            <w:noWrap/>
            <w:vAlign w:val="center"/>
            <w:hideMark/>
          </w:tcPr>
          <w:p w14:paraId="7899D39E"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45</w:t>
            </w:r>
          </w:p>
        </w:tc>
      </w:tr>
      <w:tr w:rsidR="00195C26" w:rsidRPr="00017070" w14:paraId="5A47840E" w14:textId="4F8ECC86" w:rsidTr="00195C26">
        <w:trPr>
          <w:trHeight w:val="64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31920B"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DRIIHM</w:t>
            </w:r>
          </w:p>
        </w:tc>
        <w:tc>
          <w:tcPr>
            <w:tcW w:w="0" w:type="auto"/>
            <w:tcBorders>
              <w:top w:val="nil"/>
              <w:left w:val="nil"/>
              <w:bottom w:val="single" w:sz="4" w:space="0" w:color="auto"/>
              <w:right w:val="single" w:sz="4" w:space="0" w:color="auto"/>
            </w:tcBorders>
            <w:shd w:val="clear" w:color="auto" w:fill="auto"/>
            <w:noWrap/>
            <w:vAlign w:val="center"/>
            <w:hideMark/>
          </w:tcPr>
          <w:p w14:paraId="4CBC7DC5"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Labex</w:t>
            </w:r>
          </w:p>
        </w:tc>
        <w:tc>
          <w:tcPr>
            <w:tcW w:w="0" w:type="auto"/>
            <w:tcBorders>
              <w:top w:val="nil"/>
              <w:left w:val="nil"/>
              <w:bottom w:val="single" w:sz="4" w:space="0" w:color="auto"/>
              <w:right w:val="single" w:sz="4" w:space="0" w:color="auto"/>
            </w:tcBorders>
            <w:shd w:val="clear" w:color="auto" w:fill="auto"/>
            <w:vAlign w:val="center"/>
            <w:hideMark/>
          </w:tcPr>
          <w:p w14:paraId="7631DD3C"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distribuée, dispositif de recherche interdisciplinaire sur les interactions hommes milieux</w:t>
            </w:r>
          </w:p>
        </w:tc>
        <w:tc>
          <w:tcPr>
            <w:tcW w:w="0" w:type="auto"/>
            <w:tcBorders>
              <w:top w:val="nil"/>
              <w:left w:val="nil"/>
              <w:bottom w:val="single" w:sz="4" w:space="0" w:color="auto"/>
              <w:right w:val="single" w:sz="4" w:space="0" w:color="auto"/>
            </w:tcBorders>
            <w:shd w:val="clear" w:color="auto" w:fill="auto"/>
            <w:vAlign w:val="center"/>
            <w:hideMark/>
          </w:tcPr>
          <w:p w14:paraId="72012B7F"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7</w:t>
            </w:r>
          </w:p>
        </w:tc>
        <w:tc>
          <w:tcPr>
            <w:tcW w:w="0" w:type="auto"/>
            <w:tcBorders>
              <w:top w:val="nil"/>
              <w:left w:val="nil"/>
              <w:bottom w:val="single" w:sz="4" w:space="0" w:color="auto"/>
              <w:right w:val="single" w:sz="4" w:space="0" w:color="auto"/>
            </w:tcBorders>
            <w:shd w:val="clear" w:color="auto" w:fill="auto"/>
            <w:noWrap/>
            <w:vAlign w:val="center"/>
            <w:hideMark/>
          </w:tcPr>
          <w:p w14:paraId="31EEAC23"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w:t>
            </w:r>
          </w:p>
        </w:tc>
        <w:tc>
          <w:tcPr>
            <w:tcW w:w="0" w:type="auto"/>
            <w:tcBorders>
              <w:top w:val="nil"/>
              <w:left w:val="nil"/>
              <w:bottom w:val="single" w:sz="4" w:space="0" w:color="auto"/>
              <w:right w:val="single" w:sz="4" w:space="0" w:color="auto"/>
            </w:tcBorders>
            <w:shd w:val="clear" w:color="auto" w:fill="auto"/>
            <w:noWrap/>
            <w:vAlign w:val="center"/>
            <w:hideMark/>
          </w:tcPr>
          <w:p w14:paraId="2C4E7E14"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17</w:t>
            </w:r>
          </w:p>
        </w:tc>
      </w:tr>
      <w:tr w:rsidR="00195C26" w:rsidRPr="00017070" w14:paraId="634EB661" w14:textId="4368C681" w:rsidTr="00195C26">
        <w:trPr>
          <w:trHeight w:val="5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A1EF2C"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AnaEE</w:t>
            </w:r>
          </w:p>
        </w:tc>
        <w:tc>
          <w:tcPr>
            <w:tcW w:w="0" w:type="auto"/>
            <w:tcBorders>
              <w:top w:val="nil"/>
              <w:left w:val="nil"/>
              <w:bottom w:val="single" w:sz="4" w:space="0" w:color="auto"/>
              <w:right w:val="single" w:sz="4" w:space="0" w:color="auto"/>
            </w:tcBorders>
            <w:shd w:val="clear" w:color="auto" w:fill="auto"/>
            <w:noWrap/>
            <w:vAlign w:val="center"/>
            <w:hideMark/>
          </w:tcPr>
          <w:p w14:paraId="5361158B"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4E8455EE" w14:textId="36D38FE4"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w:t>
            </w:r>
            <w:r w:rsidR="003A5FF4">
              <w:rPr>
                <w:rFonts w:cs="Times New Roman"/>
                <w:sz w:val="20"/>
                <w:szCs w:val="20"/>
                <w:lang w:eastAsia="fr-FR"/>
              </w:rPr>
              <w:t>c</w:t>
            </w:r>
            <w:r w:rsidRPr="00017070">
              <w:rPr>
                <w:rFonts w:cs="Times New Roman"/>
                <w:sz w:val="20"/>
                <w:szCs w:val="20"/>
                <w:lang w:eastAsia="fr-FR"/>
              </w:rPr>
              <w:t>ture distribuée, Analyse et expérimentation sur les écosystèmes</w:t>
            </w:r>
          </w:p>
        </w:tc>
        <w:tc>
          <w:tcPr>
            <w:tcW w:w="0" w:type="auto"/>
            <w:tcBorders>
              <w:top w:val="nil"/>
              <w:left w:val="nil"/>
              <w:bottom w:val="single" w:sz="4" w:space="0" w:color="auto"/>
              <w:right w:val="single" w:sz="4" w:space="0" w:color="auto"/>
            </w:tcBorders>
            <w:shd w:val="clear" w:color="auto" w:fill="auto"/>
            <w:vAlign w:val="center"/>
            <w:hideMark/>
          </w:tcPr>
          <w:p w14:paraId="45E15C8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14</w:t>
            </w:r>
          </w:p>
        </w:tc>
        <w:tc>
          <w:tcPr>
            <w:tcW w:w="0" w:type="auto"/>
            <w:tcBorders>
              <w:top w:val="nil"/>
              <w:left w:val="nil"/>
              <w:bottom w:val="single" w:sz="4" w:space="0" w:color="auto"/>
              <w:right w:val="single" w:sz="4" w:space="0" w:color="auto"/>
            </w:tcBorders>
            <w:shd w:val="clear" w:color="auto" w:fill="auto"/>
            <w:noWrap/>
            <w:vAlign w:val="center"/>
            <w:hideMark/>
          </w:tcPr>
          <w:p w14:paraId="71A7BBC6"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w:t>
            </w:r>
          </w:p>
        </w:tc>
        <w:tc>
          <w:tcPr>
            <w:tcW w:w="0" w:type="auto"/>
            <w:tcBorders>
              <w:top w:val="nil"/>
              <w:left w:val="nil"/>
              <w:bottom w:val="single" w:sz="4" w:space="0" w:color="auto"/>
              <w:right w:val="single" w:sz="4" w:space="0" w:color="auto"/>
            </w:tcBorders>
            <w:shd w:val="clear" w:color="auto" w:fill="auto"/>
            <w:noWrap/>
            <w:vAlign w:val="center"/>
            <w:hideMark/>
          </w:tcPr>
          <w:p w14:paraId="4ADB8A1F"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7</w:t>
            </w:r>
          </w:p>
        </w:tc>
      </w:tr>
      <w:tr w:rsidR="00195C26" w:rsidRPr="00017070" w14:paraId="3F7E40C6" w14:textId="21903F5C" w:rsidTr="00195C26">
        <w:trPr>
          <w:trHeight w:val="34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DB78F63" w14:textId="77777777" w:rsidR="00195C26" w:rsidRPr="00017070" w:rsidRDefault="00195C26" w:rsidP="00017070">
            <w:pPr>
              <w:spacing w:before="0" w:after="0"/>
              <w:ind w:firstLine="0"/>
              <w:jc w:val="center"/>
              <w:rPr>
                <w:rFonts w:cs="Times New Roman"/>
                <w:bCs/>
                <w:sz w:val="20"/>
                <w:szCs w:val="20"/>
                <w:lang w:eastAsia="fr-FR"/>
              </w:rPr>
            </w:pPr>
            <w:r w:rsidRPr="00017070">
              <w:rPr>
                <w:rFonts w:cs="Times New Roman"/>
                <w:bCs/>
                <w:sz w:val="20"/>
                <w:szCs w:val="20"/>
                <w:lang w:eastAsia="fr-FR"/>
              </w:rPr>
              <w:t>CLIMERI France</w:t>
            </w:r>
          </w:p>
        </w:tc>
        <w:tc>
          <w:tcPr>
            <w:tcW w:w="0" w:type="auto"/>
            <w:tcBorders>
              <w:top w:val="nil"/>
              <w:left w:val="nil"/>
              <w:bottom w:val="single" w:sz="4" w:space="0" w:color="auto"/>
              <w:right w:val="single" w:sz="4" w:space="0" w:color="auto"/>
            </w:tcBorders>
            <w:shd w:val="clear" w:color="auto" w:fill="auto"/>
            <w:vAlign w:val="center"/>
            <w:hideMark/>
          </w:tcPr>
          <w:p w14:paraId="6604B53C"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5DA9AAB1"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Infrastructure de recherche nationale de modélisation du système climatique de la Terre</w:t>
            </w:r>
          </w:p>
        </w:tc>
        <w:tc>
          <w:tcPr>
            <w:tcW w:w="0" w:type="auto"/>
            <w:tcBorders>
              <w:top w:val="nil"/>
              <w:left w:val="nil"/>
              <w:bottom w:val="single" w:sz="4" w:space="0" w:color="auto"/>
              <w:right w:val="single" w:sz="4" w:space="0" w:color="auto"/>
            </w:tcBorders>
            <w:shd w:val="clear" w:color="auto" w:fill="auto"/>
            <w:noWrap/>
            <w:vAlign w:val="bottom"/>
            <w:hideMark/>
          </w:tcPr>
          <w:p w14:paraId="510637B8"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76946B80"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36ED0FA7"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3F09B02F" w14:textId="56261CA4" w:rsidTr="00195C26">
        <w:trPr>
          <w:trHeight w:val="53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87D43A" w14:textId="77777777" w:rsidR="00195C26" w:rsidRPr="00017070" w:rsidRDefault="00195C26" w:rsidP="00017070">
            <w:pPr>
              <w:spacing w:before="0" w:after="0"/>
              <w:ind w:firstLine="0"/>
              <w:jc w:val="center"/>
              <w:rPr>
                <w:rFonts w:cs="Times New Roman"/>
                <w:bCs/>
                <w:sz w:val="18"/>
                <w:szCs w:val="18"/>
                <w:lang w:eastAsia="fr-FR"/>
              </w:rPr>
            </w:pPr>
            <w:r w:rsidRPr="00017070">
              <w:rPr>
                <w:rFonts w:cs="Times New Roman"/>
                <w:bCs/>
                <w:sz w:val="18"/>
                <w:szCs w:val="18"/>
                <w:lang w:eastAsia="fr-FR"/>
              </w:rPr>
              <w:t>In-Sylva-France</w:t>
            </w:r>
          </w:p>
        </w:tc>
        <w:tc>
          <w:tcPr>
            <w:tcW w:w="0" w:type="auto"/>
            <w:tcBorders>
              <w:top w:val="nil"/>
              <w:left w:val="nil"/>
              <w:bottom w:val="single" w:sz="4" w:space="0" w:color="auto"/>
              <w:right w:val="single" w:sz="4" w:space="0" w:color="auto"/>
            </w:tcBorders>
            <w:shd w:val="clear" w:color="auto" w:fill="auto"/>
            <w:vAlign w:val="center"/>
            <w:hideMark/>
          </w:tcPr>
          <w:p w14:paraId="1AE5AF48"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78821A72"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In-Sylva France Infrastructure Nationale de recherche pour la gestion adaptative des forêts</w:t>
            </w:r>
          </w:p>
        </w:tc>
        <w:tc>
          <w:tcPr>
            <w:tcW w:w="0" w:type="auto"/>
            <w:tcBorders>
              <w:top w:val="nil"/>
              <w:left w:val="nil"/>
              <w:bottom w:val="single" w:sz="4" w:space="0" w:color="auto"/>
              <w:right w:val="single" w:sz="4" w:space="0" w:color="auto"/>
            </w:tcBorders>
            <w:shd w:val="clear" w:color="auto" w:fill="auto"/>
            <w:vAlign w:val="center"/>
            <w:hideMark/>
          </w:tcPr>
          <w:p w14:paraId="323D7795"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7B2165D1"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4B4C0932"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9</w:t>
            </w:r>
          </w:p>
        </w:tc>
      </w:tr>
      <w:tr w:rsidR="00195C26" w:rsidRPr="00017070" w14:paraId="3CFB212C" w14:textId="07678352" w:rsidTr="00195C26">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1B8DFED" w14:textId="77777777" w:rsidR="00195C26" w:rsidRPr="00017070" w:rsidRDefault="00195C26" w:rsidP="00017070">
            <w:pPr>
              <w:spacing w:before="0" w:after="0"/>
              <w:ind w:firstLine="0"/>
              <w:jc w:val="center"/>
              <w:rPr>
                <w:rFonts w:cs="Times New Roman"/>
                <w:bCs/>
                <w:sz w:val="20"/>
                <w:szCs w:val="20"/>
                <w:lang w:eastAsia="fr-FR"/>
              </w:rPr>
            </w:pPr>
            <w:r w:rsidRPr="00017070">
              <w:rPr>
                <w:rFonts w:cs="Times New Roman"/>
                <w:bCs/>
                <w:sz w:val="20"/>
                <w:szCs w:val="20"/>
                <w:lang w:eastAsia="fr-FR"/>
              </w:rPr>
              <w:t>PNDB</w:t>
            </w:r>
          </w:p>
        </w:tc>
        <w:tc>
          <w:tcPr>
            <w:tcW w:w="0" w:type="auto"/>
            <w:tcBorders>
              <w:top w:val="nil"/>
              <w:left w:val="nil"/>
              <w:bottom w:val="single" w:sz="4" w:space="0" w:color="auto"/>
              <w:right w:val="single" w:sz="4" w:space="0" w:color="auto"/>
            </w:tcBorders>
            <w:shd w:val="clear" w:color="auto" w:fill="auto"/>
            <w:vAlign w:val="center"/>
            <w:hideMark/>
          </w:tcPr>
          <w:p w14:paraId="5C7373AB"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5429489A"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Pôle National de données de Biodiversité</w:t>
            </w:r>
          </w:p>
        </w:tc>
        <w:tc>
          <w:tcPr>
            <w:tcW w:w="0" w:type="auto"/>
            <w:tcBorders>
              <w:top w:val="nil"/>
              <w:left w:val="nil"/>
              <w:bottom w:val="single" w:sz="4" w:space="0" w:color="auto"/>
              <w:right w:val="single" w:sz="4" w:space="0" w:color="auto"/>
            </w:tcBorders>
            <w:shd w:val="clear" w:color="auto" w:fill="auto"/>
            <w:vAlign w:val="center"/>
            <w:hideMark/>
          </w:tcPr>
          <w:p w14:paraId="4ED321D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14C65CDF"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18E5A517"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5487FF44" w14:textId="15E32BE1" w:rsidTr="00195C26">
        <w:trPr>
          <w:trHeight w:val="367"/>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9346935" w14:textId="77777777" w:rsidR="00195C26" w:rsidRPr="00017070" w:rsidRDefault="00195C26" w:rsidP="00017070">
            <w:pPr>
              <w:spacing w:before="0" w:after="0"/>
              <w:ind w:firstLine="0"/>
              <w:jc w:val="center"/>
              <w:rPr>
                <w:rFonts w:cs="Times New Roman"/>
                <w:bCs/>
                <w:sz w:val="20"/>
                <w:szCs w:val="20"/>
                <w:lang w:eastAsia="fr-FR"/>
              </w:rPr>
            </w:pPr>
            <w:r w:rsidRPr="00017070">
              <w:rPr>
                <w:rFonts w:cs="Times New Roman"/>
                <w:bCs/>
                <w:sz w:val="20"/>
                <w:szCs w:val="20"/>
                <w:lang w:eastAsia="fr-FR"/>
              </w:rPr>
              <w:t>RARe</w:t>
            </w:r>
          </w:p>
        </w:tc>
        <w:tc>
          <w:tcPr>
            <w:tcW w:w="0" w:type="auto"/>
            <w:tcBorders>
              <w:top w:val="nil"/>
              <w:left w:val="nil"/>
              <w:bottom w:val="single" w:sz="4" w:space="0" w:color="auto"/>
              <w:right w:val="single" w:sz="4" w:space="0" w:color="auto"/>
            </w:tcBorders>
            <w:shd w:val="clear" w:color="auto" w:fill="auto"/>
            <w:vAlign w:val="center"/>
            <w:hideMark/>
          </w:tcPr>
          <w:p w14:paraId="3AB4D006"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459D51BE"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Ressources Agronomiques pour la Recherche</w:t>
            </w:r>
          </w:p>
        </w:tc>
        <w:tc>
          <w:tcPr>
            <w:tcW w:w="0" w:type="auto"/>
            <w:tcBorders>
              <w:top w:val="nil"/>
              <w:left w:val="nil"/>
              <w:bottom w:val="single" w:sz="4" w:space="0" w:color="auto"/>
              <w:right w:val="single" w:sz="4" w:space="0" w:color="auto"/>
            </w:tcBorders>
            <w:shd w:val="clear" w:color="auto" w:fill="auto"/>
            <w:vAlign w:val="center"/>
            <w:hideMark/>
          </w:tcPr>
          <w:p w14:paraId="3F55BE84"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577A954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w:t>
            </w:r>
          </w:p>
        </w:tc>
        <w:tc>
          <w:tcPr>
            <w:tcW w:w="0" w:type="auto"/>
            <w:tcBorders>
              <w:top w:val="nil"/>
              <w:left w:val="nil"/>
              <w:bottom w:val="single" w:sz="4" w:space="0" w:color="auto"/>
              <w:right w:val="single" w:sz="4" w:space="0" w:color="auto"/>
            </w:tcBorders>
            <w:shd w:val="clear" w:color="auto" w:fill="auto"/>
            <w:vAlign w:val="center"/>
            <w:hideMark/>
          </w:tcPr>
          <w:p w14:paraId="14BDE85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18</w:t>
            </w:r>
          </w:p>
        </w:tc>
      </w:tr>
      <w:tr w:rsidR="00195C26" w:rsidRPr="00017070" w14:paraId="59C5A84D" w14:textId="2E14CCD5" w:rsidTr="00195C26">
        <w:trPr>
          <w:trHeight w:val="489"/>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058B87C" w14:textId="77777777" w:rsidR="00195C26" w:rsidRPr="00017070" w:rsidRDefault="00195C26" w:rsidP="00017070">
            <w:pPr>
              <w:spacing w:before="0" w:after="0"/>
              <w:ind w:firstLine="0"/>
              <w:jc w:val="center"/>
              <w:rPr>
                <w:rFonts w:cs="Times New Roman"/>
                <w:bCs/>
                <w:sz w:val="18"/>
                <w:szCs w:val="18"/>
                <w:lang w:eastAsia="fr-FR"/>
              </w:rPr>
            </w:pPr>
            <w:r w:rsidRPr="00017070">
              <w:rPr>
                <w:rFonts w:cs="Times New Roman"/>
                <w:bCs/>
                <w:sz w:val="18"/>
                <w:szCs w:val="18"/>
                <w:lang w:eastAsia="fr-FR"/>
              </w:rPr>
              <w:t>SAFIRE (IR IN AIR)</w:t>
            </w:r>
          </w:p>
        </w:tc>
        <w:tc>
          <w:tcPr>
            <w:tcW w:w="0" w:type="auto"/>
            <w:tcBorders>
              <w:top w:val="nil"/>
              <w:left w:val="nil"/>
              <w:bottom w:val="single" w:sz="4" w:space="0" w:color="auto"/>
              <w:right w:val="single" w:sz="4" w:space="0" w:color="auto"/>
            </w:tcBorders>
            <w:shd w:val="clear" w:color="auto" w:fill="auto"/>
            <w:vAlign w:val="center"/>
            <w:hideMark/>
          </w:tcPr>
          <w:p w14:paraId="66AA2C49"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2971D20D"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 xml:space="preserve">Flotte aéroportée </w:t>
            </w:r>
          </w:p>
        </w:tc>
        <w:tc>
          <w:tcPr>
            <w:tcW w:w="0" w:type="auto"/>
            <w:tcBorders>
              <w:top w:val="nil"/>
              <w:left w:val="nil"/>
              <w:bottom w:val="single" w:sz="4" w:space="0" w:color="auto"/>
              <w:right w:val="single" w:sz="4" w:space="0" w:color="auto"/>
            </w:tcBorders>
            <w:shd w:val="clear" w:color="auto" w:fill="auto"/>
            <w:vAlign w:val="center"/>
            <w:hideMark/>
          </w:tcPr>
          <w:p w14:paraId="0E94034F"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5F4FA538"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0D82460A"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63BEE152" w14:textId="28AAB450" w:rsidTr="00195C26">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D6746F"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Phénome-Emphasis</w:t>
            </w:r>
          </w:p>
        </w:tc>
        <w:tc>
          <w:tcPr>
            <w:tcW w:w="0" w:type="auto"/>
            <w:tcBorders>
              <w:top w:val="nil"/>
              <w:left w:val="nil"/>
              <w:bottom w:val="single" w:sz="4" w:space="0" w:color="auto"/>
              <w:right w:val="single" w:sz="4" w:space="0" w:color="auto"/>
            </w:tcBorders>
            <w:shd w:val="clear" w:color="auto" w:fill="auto"/>
            <w:noWrap/>
            <w:vAlign w:val="center"/>
            <w:hideMark/>
          </w:tcPr>
          <w:p w14:paraId="543D6D5C"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 xml:space="preserve">IR </w:t>
            </w:r>
          </w:p>
        </w:tc>
        <w:tc>
          <w:tcPr>
            <w:tcW w:w="0" w:type="auto"/>
            <w:tcBorders>
              <w:top w:val="nil"/>
              <w:left w:val="nil"/>
              <w:bottom w:val="single" w:sz="4" w:space="0" w:color="auto"/>
              <w:right w:val="single" w:sz="4" w:space="0" w:color="auto"/>
            </w:tcBorders>
            <w:shd w:val="clear" w:color="auto" w:fill="auto"/>
            <w:vAlign w:val="center"/>
            <w:hideMark/>
          </w:tcPr>
          <w:p w14:paraId="5399549D"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Dispositif expérimental</w:t>
            </w:r>
          </w:p>
        </w:tc>
        <w:tc>
          <w:tcPr>
            <w:tcW w:w="0" w:type="auto"/>
            <w:tcBorders>
              <w:top w:val="nil"/>
              <w:left w:val="nil"/>
              <w:bottom w:val="single" w:sz="4" w:space="0" w:color="auto"/>
              <w:right w:val="single" w:sz="4" w:space="0" w:color="auto"/>
            </w:tcBorders>
            <w:shd w:val="clear" w:color="auto" w:fill="auto"/>
            <w:vAlign w:val="center"/>
            <w:hideMark/>
          </w:tcPr>
          <w:p w14:paraId="3C4FDDFB"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29</w:t>
            </w:r>
          </w:p>
        </w:tc>
        <w:tc>
          <w:tcPr>
            <w:tcW w:w="0" w:type="auto"/>
            <w:tcBorders>
              <w:top w:val="nil"/>
              <w:left w:val="nil"/>
              <w:bottom w:val="single" w:sz="4" w:space="0" w:color="auto"/>
              <w:right w:val="single" w:sz="4" w:space="0" w:color="auto"/>
            </w:tcBorders>
            <w:shd w:val="clear" w:color="auto" w:fill="auto"/>
            <w:noWrap/>
            <w:vAlign w:val="bottom"/>
            <w:hideMark/>
          </w:tcPr>
          <w:p w14:paraId="5F03C2F1"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bottom"/>
            <w:hideMark/>
          </w:tcPr>
          <w:p w14:paraId="2E5A92CF"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9</w:t>
            </w:r>
          </w:p>
        </w:tc>
      </w:tr>
      <w:tr w:rsidR="00195C26" w:rsidRPr="00017070" w14:paraId="5E34CE25" w14:textId="12A25A14" w:rsidTr="00195C26">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D6E3A0"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LiPh4SAS</w:t>
            </w:r>
          </w:p>
        </w:tc>
        <w:tc>
          <w:tcPr>
            <w:tcW w:w="0" w:type="auto"/>
            <w:tcBorders>
              <w:top w:val="nil"/>
              <w:left w:val="nil"/>
              <w:bottom w:val="single" w:sz="4" w:space="0" w:color="auto"/>
              <w:right w:val="single" w:sz="4" w:space="0" w:color="auto"/>
            </w:tcBorders>
            <w:shd w:val="clear" w:color="auto" w:fill="auto"/>
            <w:noWrap/>
            <w:vAlign w:val="center"/>
            <w:hideMark/>
          </w:tcPr>
          <w:p w14:paraId="4AE74CFD"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 xml:space="preserve">IR </w:t>
            </w:r>
          </w:p>
        </w:tc>
        <w:tc>
          <w:tcPr>
            <w:tcW w:w="0" w:type="auto"/>
            <w:tcBorders>
              <w:top w:val="nil"/>
              <w:left w:val="nil"/>
              <w:bottom w:val="single" w:sz="4" w:space="0" w:color="auto"/>
              <w:right w:val="single" w:sz="4" w:space="0" w:color="auto"/>
            </w:tcBorders>
            <w:shd w:val="clear" w:color="auto" w:fill="auto"/>
            <w:noWrap/>
            <w:vAlign w:val="bottom"/>
            <w:hideMark/>
          </w:tcPr>
          <w:p w14:paraId="268153EA"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Dispositif expérimental</w:t>
            </w:r>
          </w:p>
        </w:tc>
        <w:tc>
          <w:tcPr>
            <w:tcW w:w="0" w:type="auto"/>
            <w:tcBorders>
              <w:top w:val="nil"/>
              <w:left w:val="nil"/>
              <w:bottom w:val="single" w:sz="4" w:space="0" w:color="auto"/>
              <w:right w:val="single" w:sz="4" w:space="0" w:color="auto"/>
            </w:tcBorders>
            <w:shd w:val="clear" w:color="auto" w:fill="auto"/>
            <w:vAlign w:val="center"/>
            <w:hideMark/>
          </w:tcPr>
          <w:p w14:paraId="4A7CEEDB"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35E41FE6"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1</w:t>
            </w:r>
          </w:p>
        </w:tc>
        <w:tc>
          <w:tcPr>
            <w:tcW w:w="0" w:type="auto"/>
            <w:tcBorders>
              <w:top w:val="nil"/>
              <w:left w:val="nil"/>
              <w:bottom w:val="single" w:sz="4" w:space="0" w:color="auto"/>
              <w:right w:val="single" w:sz="4" w:space="0" w:color="auto"/>
            </w:tcBorders>
            <w:shd w:val="clear" w:color="auto" w:fill="auto"/>
            <w:noWrap/>
            <w:vAlign w:val="center"/>
            <w:hideMark/>
          </w:tcPr>
          <w:p w14:paraId="0BA89A51"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40</w:t>
            </w:r>
          </w:p>
        </w:tc>
      </w:tr>
      <w:tr w:rsidR="00195C26" w:rsidRPr="00017070" w14:paraId="570D39F9" w14:textId="0B599182" w:rsidTr="00195C26">
        <w:trPr>
          <w:trHeight w:val="30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AD54E8A"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 xml:space="preserve">Emerg’in </w:t>
            </w:r>
          </w:p>
        </w:tc>
        <w:tc>
          <w:tcPr>
            <w:tcW w:w="0" w:type="auto"/>
            <w:tcBorders>
              <w:top w:val="nil"/>
              <w:left w:val="nil"/>
              <w:bottom w:val="single" w:sz="4" w:space="0" w:color="auto"/>
              <w:right w:val="single" w:sz="4" w:space="0" w:color="auto"/>
            </w:tcBorders>
            <w:shd w:val="clear" w:color="auto" w:fill="auto"/>
            <w:vAlign w:val="center"/>
            <w:hideMark/>
          </w:tcPr>
          <w:p w14:paraId="5432C997"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3B6C8E4E"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Analyse et expérimentation</w:t>
            </w:r>
          </w:p>
        </w:tc>
        <w:tc>
          <w:tcPr>
            <w:tcW w:w="0" w:type="auto"/>
            <w:tcBorders>
              <w:top w:val="nil"/>
              <w:left w:val="nil"/>
              <w:bottom w:val="single" w:sz="4" w:space="0" w:color="auto"/>
              <w:right w:val="single" w:sz="4" w:space="0" w:color="auto"/>
            </w:tcBorders>
            <w:shd w:val="clear" w:color="auto" w:fill="auto"/>
            <w:vAlign w:val="center"/>
            <w:hideMark/>
          </w:tcPr>
          <w:p w14:paraId="4E9C281E"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2</w:t>
            </w:r>
          </w:p>
        </w:tc>
        <w:tc>
          <w:tcPr>
            <w:tcW w:w="0" w:type="auto"/>
            <w:tcBorders>
              <w:top w:val="nil"/>
              <w:left w:val="nil"/>
              <w:bottom w:val="single" w:sz="4" w:space="0" w:color="auto"/>
              <w:right w:val="single" w:sz="4" w:space="0" w:color="auto"/>
            </w:tcBorders>
            <w:shd w:val="clear" w:color="auto" w:fill="auto"/>
            <w:vAlign w:val="center"/>
            <w:hideMark/>
          </w:tcPr>
          <w:p w14:paraId="57BBE24F"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5DE5E19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4E320EF2" w14:textId="3BB65BAF" w:rsidTr="00195C26">
        <w:trPr>
          <w:trHeight w:val="413"/>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75DB8D"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Southgreen</w:t>
            </w:r>
          </w:p>
        </w:tc>
        <w:tc>
          <w:tcPr>
            <w:tcW w:w="0" w:type="auto"/>
            <w:tcBorders>
              <w:top w:val="nil"/>
              <w:left w:val="nil"/>
              <w:bottom w:val="single" w:sz="4" w:space="0" w:color="auto"/>
              <w:right w:val="single" w:sz="4" w:space="0" w:color="auto"/>
            </w:tcBorders>
            <w:shd w:val="clear" w:color="auto" w:fill="auto"/>
            <w:vAlign w:val="center"/>
            <w:hideMark/>
          </w:tcPr>
          <w:p w14:paraId="11747EC0" w14:textId="1319CB7D" w:rsidR="00195C26" w:rsidRPr="00017070" w:rsidRDefault="00195C26" w:rsidP="006D130F">
            <w:pPr>
              <w:spacing w:before="0" w:after="0"/>
              <w:ind w:firstLine="0"/>
              <w:jc w:val="center"/>
              <w:rPr>
                <w:rFonts w:cs="Times New Roman"/>
                <w:sz w:val="20"/>
                <w:szCs w:val="20"/>
                <w:lang w:eastAsia="fr-FR"/>
              </w:rPr>
            </w:pPr>
            <w:r w:rsidRPr="006D130F">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3D2F4D03" w14:textId="67A3520D" w:rsidR="00195C26" w:rsidRPr="00017070" w:rsidRDefault="00195C26" w:rsidP="006D130F">
            <w:pPr>
              <w:spacing w:before="0" w:after="0"/>
              <w:ind w:firstLine="0"/>
              <w:jc w:val="left"/>
              <w:rPr>
                <w:rFonts w:cs="Times New Roman"/>
                <w:sz w:val="20"/>
                <w:szCs w:val="20"/>
                <w:lang w:eastAsia="fr-FR"/>
              </w:rPr>
            </w:pPr>
            <w:r>
              <w:rPr>
                <w:rFonts w:cs="Times New Roman"/>
                <w:sz w:val="20"/>
                <w:szCs w:val="20"/>
                <w:lang w:eastAsia="fr-FR"/>
              </w:rPr>
              <w:t xml:space="preserve">Une </w:t>
            </w:r>
            <w:r w:rsidRPr="00017070">
              <w:rPr>
                <w:rFonts w:cs="Times New Roman"/>
                <w:sz w:val="20"/>
                <w:szCs w:val="20"/>
                <w:lang w:eastAsia="fr-FR"/>
              </w:rPr>
              <w:t>partie de l'IR nationale IFB</w:t>
            </w:r>
            <w:r>
              <w:rPr>
                <w:rFonts w:cs="Times New Roman"/>
                <w:sz w:val="20"/>
                <w:szCs w:val="20"/>
                <w:lang w:eastAsia="fr-FR"/>
              </w:rPr>
              <w:t xml:space="preserve">. </w:t>
            </w:r>
            <w:r w:rsidRPr="00017070">
              <w:rPr>
                <w:rFonts w:cs="Times New Roman"/>
                <w:sz w:val="20"/>
                <w:szCs w:val="20"/>
                <w:lang w:eastAsia="fr-FR"/>
              </w:rPr>
              <w:t>Calculs&amp;stockage</w:t>
            </w:r>
          </w:p>
        </w:tc>
        <w:tc>
          <w:tcPr>
            <w:tcW w:w="0" w:type="auto"/>
            <w:tcBorders>
              <w:top w:val="nil"/>
              <w:left w:val="nil"/>
              <w:bottom w:val="single" w:sz="4" w:space="0" w:color="auto"/>
              <w:right w:val="single" w:sz="4" w:space="0" w:color="auto"/>
            </w:tcBorders>
            <w:shd w:val="clear" w:color="auto" w:fill="auto"/>
            <w:vAlign w:val="center"/>
            <w:hideMark/>
          </w:tcPr>
          <w:p w14:paraId="5AAA4DF2"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527D1F4B"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25266D0B"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3D41EE7B" w14:textId="69C83063" w:rsidTr="00195C26">
        <w:trPr>
          <w:trHeight w:val="51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1742C7B"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PHIV</w:t>
            </w:r>
          </w:p>
        </w:tc>
        <w:tc>
          <w:tcPr>
            <w:tcW w:w="0" w:type="auto"/>
            <w:tcBorders>
              <w:top w:val="nil"/>
              <w:left w:val="nil"/>
              <w:bottom w:val="single" w:sz="4" w:space="0" w:color="auto"/>
              <w:right w:val="single" w:sz="4" w:space="0" w:color="auto"/>
            </w:tcBorders>
            <w:shd w:val="clear" w:color="auto" w:fill="auto"/>
            <w:vAlign w:val="center"/>
            <w:hideMark/>
          </w:tcPr>
          <w:p w14:paraId="10DB7155" w14:textId="61AE503D" w:rsidR="00195C26" w:rsidRPr="00017070" w:rsidRDefault="00195C26" w:rsidP="006D130F">
            <w:pPr>
              <w:spacing w:before="0" w:after="0"/>
              <w:ind w:firstLine="0"/>
              <w:jc w:val="center"/>
              <w:rPr>
                <w:rFonts w:cs="Times New Roman"/>
                <w:sz w:val="20"/>
                <w:szCs w:val="20"/>
                <w:lang w:eastAsia="fr-FR"/>
              </w:rPr>
            </w:pPr>
            <w:r>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4D978D17" w14:textId="3503C63E" w:rsidR="00195C26" w:rsidRPr="00017070" w:rsidRDefault="00195C26" w:rsidP="006D130F">
            <w:pPr>
              <w:spacing w:before="0" w:after="0"/>
              <w:ind w:firstLine="0"/>
              <w:jc w:val="left"/>
              <w:rPr>
                <w:rFonts w:cs="Times New Roman"/>
                <w:sz w:val="20"/>
                <w:szCs w:val="20"/>
                <w:lang w:eastAsia="fr-FR"/>
              </w:rPr>
            </w:pPr>
            <w:r>
              <w:rPr>
                <w:rFonts w:cs="Times New Roman"/>
                <w:sz w:val="20"/>
                <w:szCs w:val="20"/>
                <w:lang w:eastAsia="fr-FR"/>
              </w:rPr>
              <w:t xml:space="preserve">Une </w:t>
            </w:r>
            <w:r w:rsidRPr="00017070">
              <w:rPr>
                <w:rFonts w:cs="Times New Roman"/>
                <w:sz w:val="20"/>
                <w:szCs w:val="20"/>
                <w:lang w:eastAsia="fr-FR"/>
              </w:rPr>
              <w:t>partie de l'IR France Bioimaging</w:t>
            </w:r>
            <w:r>
              <w:rPr>
                <w:rFonts w:cs="Times New Roman"/>
                <w:sz w:val="20"/>
                <w:szCs w:val="20"/>
                <w:lang w:eastAsia="fr-FR"/>
              </w:rPr>
              <w:t xml:space="preserve">. </w:t>
            </w:r>
            <w:r w:rsidRPr="00017070">
              <w:rPr>
                <w:rFonts w:cs="Times New Roman"/>
                <w:sz w:val="20"/>
                <w:szCs w:val="20"/>
                <w:lang w:eastAsia="fr-FR"/>
              </w:rPr>
              <w:t>Analyse et expérimentation</w:t>
            </w:r>
          </w:p>
        </w:tc>
        <w:tc>
          <w:tcPr>
            <w:tcW w:w="0" w:type="auto"/>
            <w:tcBorders>
              <w:top w:val="nil"/>
              <w:left w:val="nil"/>
              <w:bottom w:val="single" w:sz="4" w:space="0" w:color="auto"/>
              <w:right w:val="single" w:sz="4" w:space="0" w:color="auto"/>
            </w:tcBorders>
            <w:shd w:val="clear" w:color="auto" w:fill="auto"/>
            <w:vAlign w:val="center"/>
            <w:hideMark/>
          </w:tcPr>
          <w:p w14:paraId="4A0C8292"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5CFA055C"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7EAC90F4"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1440477D" w14:textId="7B3BC1CB" w:rsidTr="00195C26">
        <w:trPr>
          <w:trHeight w:val="755"/>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66B8AE"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Maison des sciences de l’homme SUD</w:t>
            </w:r>
          </w:p>
        </w:tc>
        <w:tc>
          <w:tcPr>
            <w:tcW w:w="0" w:type="auto"/>
            <w:tcBorders>
              <w:top w:val="nil"/>
              <w:left w:val="nil"/>
              <w:bottom w:val="single" w:sz="4" w:space="0" w:color="auto"/>
              <w:right w:val="single" w:sz="4" w:space="0" w:color="auto"/>
            </w:tcBorders>
            <w:shd w:val="clear" w:color="auto" w:fill="auto"/>
            <w:vAlign w:val="center"/>
            <w:hideMark/>
          </w:tcPr>
          <w:p w14:paraId="70C7B670" w14:textId="35C15FB7" w:rsidR="00195C26" w:rsidRPr="00017070" w:rsidRDefault="00195C26" w:rsidP="006D130F">
            <w:pPr>
              <w:spacing w:before="0" w:after="0"/>
              <w:ind w:firstLine="0"/>
              <w:jc w:val="center"/>
              <w:rPr>
                <w:rFonts w:cs="Times New Roman"/>
                <w:sz w:val="20"/>
                <w:szCs w:val="20"/>
                <w:lang w:eastAsia="fr-FR"/>
              </w:rPr>
            </w:pPr>
            <w:r>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38AECE9D" w14:textId="21253161" w:rsidR="00195C26" w:rsidRPr="00017070" w:rsidRDefault="00195C26" w:rsidP="006D130F">
            <w:pPr>
              <w:spacing w:before="0" w:after="0"/>
              <w:ind w:firstLine="0"/>
              <w:jc w:val="left"/>
              <w:rPr>
                <w:rFonts w:cs="Times New Roman"/>
                <w:sz w:val="20"/>
                <w:szCs w:val="20"/>
                <w:lang w:eastAsia="fr-FR"/>
              </w:rPr>
            </w:pPr>
            <w:r>
              <w:rPr>
                <w:rFonts w:cs="Times New Roman"/>
                <w:sz w:val="20"/>
                <w:szCs w:val="20"/>
                <w:lang w:eastAsia="fr-FR"/>
              </w:rPr>
              <w:t>P</w:t>
            </w:r>
            <w:r w:rsidRPr="00017070">
              <w:rPr>
                <w:rFonts w:cs="Times New Roman"/>
                <w:sz w:val="20"/>
                <w:szCs w:val="20"/>
                <w:lang w:eastAsia="fr-FR"/>
              </w:rPr>
              <w:t>artie de l'IR réseau national des Maisons de Science de l'Homme</w:t>
            </w:r>
            <w:r>
              <w:rPr>
                <w:rFonts w:cs="Times New Roman"/>
                <w:sz w:val="20"/>
                <w:szCs w:val="20"/>
                <w:lang w:eastAsia="fr-FR"/>
              </w:rPr>
              <w:t xml:space="preserve">. </w:t>
            </w:r>
            <w:r w:rsidRPr="00017070">
              <w:rPr>
                <w:rFonts w:cs="Times New Roman"/>
                <w:sz w:val="20"/>
                <w:szCs w:val="20"/>
                <w:lang w:eastAsia="fr-FR"/>
              </w:rPr>
              <w:t>Incubation et soutien aux projets de recherche inter/multi disciplinaires à l'interface sciences société</w:t>
            </w:r>
          </w:p>
        </w:tc>
        <w:tc>
          <w:tcPr>
            <w:tcW w:w="0" w:type="auto"/>
            <w:tcBorders>
              <w:top w:val="nil"/>
              <w:left w:val="nil"/>
              <w:bottom w:val="single" w:sz="4" w:space="0" w:color="auto"/>
              <w:right w:val="single" w:sz="4" w:space="0" w:color="auto"/>
            </w:tcBorders>
            <w:shd w:val="clear" w:color="auto" w:fill="auto"/>
            <w:vAlign w:val="center"/>
            <w:hideMark/>
          </w:tcPr>
          <w:p w14:paraId="2539347A"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vAlign w:val="center"/>
            <w:hideMark/>
          </w:tcPr>
          <w:p w14:paraId="1E9F0530"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5596C63F"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2C4425B5" w14:textId="7EED2D67" w:rsidTr="00195C26">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034FC5"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CORIOLIS</w:t>
            </w:r>
          </w:p>
        </w:tc>
        <w:tc>
          <w:tcPr>
            <w:tcW w:w="0" w:type="auto"/>
            <w:tcBorders>
              <w:top w:val="nil"/>
              <w:left w:val="nil"/>
              <w:bottom w:val="single" w:sz="4" w:space="0" w:color="auto"/>
              <w:right w:val="single" w:sz="4" w:space="0" w:color="auto"/>
            </w:tcBorders>
            <w:shd w:val="clear" w:color="auto" w:fill="auto"/>
            <w:noWrap/>
            <w:vAlign w:val="center"/>
            <w:hideMark/>
          </w:tcPr>
          <w:p w14:paraId="7717E55F"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vAlign w:val="center"/>
            <w:hideMark/>
          </w:tcPr>
          <w:p w14:paraId="6AC75F2D"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Centre de données et services in situ Coriolis.</w:t>
            </w:r>
          </w:p>
        </w:tc>
        <w:tc>
          <w:tcPr>
            <w:tcW w:w="0" w:type="auto"/>
            <w:tcBorders>
              <w:top w:val="nil"/>
              <w:left w:val="nil"/>
              <w:bottom w:val="single" w:sz="4" w:space="0" w:color="auto"/>
              <w:right w:val="single" w:sz="4" w:space="0" w:color="auto"/>
            </w:tcBorders>
            <w:shd w:val="clear" w:color="auto" w:fill="auto"/>
            <w:vAlign w:val="center"/>
            <w:hideMark/>
          </w:tcPr>
          <w:p w14:paraId="7D9B3BDA"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475419CC"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006E8DD7"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763CFCED" w14:textId="5A081B87" w:rsidTr="00195C26">
        <w:trPr>
          <w:trHeight w:val="31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6757DD"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ODATIS</w:t>
            </w:r>
          </w:p>
        </w:tc>
        <w:tc>
          <w:tcPr>
            <w:tcW w:w="0" w:type="auto"/>
            <w:tcBorders>
              <w:top w:val="nil"/>
              <w:left w:val="nil"/>
              <w:bottom w:val="single" w:sz="4" w:space="0" w:color="auto"/>
              <w:right w:val="single" w:sz="4" w:space="0" w:color="auto"/>
            </w:tcBorders>
            <w:shd w:val="clear" w:color="auto" w:fill="auto"/>
            <w:noWrap/>
            <w:vAlign w:val="center"/>
            <w:hideMark/>
          </w:tcPr>
          <w:p w14:paraId="10A286BA"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noWrap/>
            <w:vAlign w:val="bottom"/>
            <w:hideMark/>
          </w:tcPr>
          <w:p w14:paraId="461749AA"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pôle de données numériques</w:t>
            </w:r>
          </w:p>
        </w:tc>
        <w:tc>
          <w:tcPr>
            <w:tcW w:w="0" w:type="auto"/>
            <w:tcBorders>
              <w:top w:val="nil"/>
              <w:left w:val="nil"/>
              <w:bottom w:val="single" w:sz="4" w:space="0" w:color="auto"/>
              <w:right w:val="single" w:sz="4" w:space="0" w:color="auto"/>
            </w:tcBorders>
            <w:shd w:val="clear" w:color="auto" w:fill="auto"/>
            <w:vAlign w:val="center"/>
            <w:hideMark/>
          </w:tcPr>
          <w:p w14:paraId="0671CC2A"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56B20CB9"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079EE828"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5727525E" w14:textId="09953549" w:rsidTr="00195C26">
        <w:trPr>
          <w:trHeight w:val="31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C00B5B"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THEIA</w:t>
            </w:r>
          </w:p>
        </w:tc>
        <w:tc>
          <w:tcPr>
            <w:tcW w:w="0" w:type="auto"/>
            <w:tcBorders>
              <w:top w:val="nil"/>
              <w:left w:val="nil"/>
              <w:bottom w:val="single" w:sz="4" w:space="0" w:color="auto"/>
              <w:right w:val="single" w:sz="4" w:space="0" w:color="auto"/>
            </w:tcBorders>
            <w:shd w:val="clear" w:color="auto" w:fill="auto"/>
            <w:noWrap/>
            <w:vAlign w:val="center"/>
            <w:hideMark/>
          </w:tcPr>
          <w:p w14:paraId="0E807442" w14:textId="77777777" w:rsidR="00195C26" w:rsidRPr="00017070" w:rsidRDefault="00195C26" w:rsidP="00017070">
            <w:pPr>
              <w:spacing w:before="0" w:after="0"/>
              <w:ind w:firstLine="0"/>
              <w:jc w:val="center"/>
              <w:rPr>
                <w:rFonts w:cs="Times New Roman"/>
                <w:sz w:val="20"/>
                <w:szCs w:val="20"/>
                <w:lang w:eastAsia="fr-FR"/>
              </w:rPr>
            </w:pPr>
            <w:r w:rsidRPr="00017070">
              <w:rPr>
                <w:rFonts w:cs="Times New Roman"/>
                <w:sz w:val="20"/>
                <w:szCs w:val="20"/>
                <w:lang w:eastAsia="fr-FR"/>
              </w:rPr>
              <w:t>IR</w:t>
            </w:r>
          </w:p>
        </w:tc>
        <w:tc>
          <w:tcPr>
            <w:tcW w:w="0" w:type="auto"/>
            <w:tcBorders>
              <w:top w:val="nil"/>
              <w:left w:val="nil"/>
              <w:bottom w:val="single" w:sz="4" w:space="0" w:color="auto"/>
              <w:right w:val="single" w:sz="4" w:space="0" w:color="auto"/>
            </w:tcBorders>
            <w:shd w:val="clear" w:color="auto" w:fill="auto"/>
            <w:noWrap/>
            <w:vAlign w:val="bottom"/>
            <w:hideMark/>
          </w:tcPr>
          <w:p w14:paraId="70F8C56A" w14:textId="77777777" w:rsidR="00195C26" w:rsidRPr="00017070" w:rsidRDefault="00195C26" w:rsidP="00017070">
            <w:pPr>
              <w:spacing w:before="0" w:after="0"/>
              <w:ind w:firstLine="0"/>
              <w:jc w:val="left"/>
              <w:rPr>
                <w:rFonts w:cs="Times New Roman"/>
                <w:sz w:val="20"/>
                <w:szCs w:val="20"/>
                <w:lang w:eastAsia="fr-FR"/>
              </w:rPr>
            </w:pPr>
            <w:r w:rsidRPr="00017070">
              <w:rPr>
                <w:rFonts w:cs="Times New Roman"/>
                <w:sz w:val="20"/>
                <w:szCs w:val="20"/>
                <w:lang w:eastAsia="fr-FR"/>
              </w:rPr>
              <w:t>pôle de données numériques</w:t>
            </w:r>
          </w:p>
        </w:tc>
        <w:tc>
          <w:tcPr>
            <w:tcW w:w="0" w:type="auto"/>
            <w:tcBorders>
              <w:top w:val="nil"/>
              <w:left w:val="nil"/>
              <w:bottom w:val="single" w:sz="4" w:space="0" w:color="auto"/>
              <w:right w:val="single" w:sz="4" w:space="0" w:color="auto"/>
            </w:tcBorders>
            <w:shd w:val="clear" w:color="auto" w:fill="auto"/>
            <w:vAlign w:val="center"/>
            <w:hideMark/>
          </w:tcPr>
          <w:p w14:paraId="12BA719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15A5627D"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c>
          <w:tcPr>
            <w:tcW w:w="0" w:type="auto"/>
            <w:tcBorders>
              <w:top w:val="nil"/>
              <w:left w:val="nil"/>
              <w:bottom w:val="single" w:sz="4" w:space="0" w:color="auto"/>
              <w:right w:val="single" w:sz="4" w:space="0" w:color="auto"/>
            </w:tcBorders>
            <w:shd w:val="clear" w:color="auto" w:fill="auto"/>
            <w:noWrap/>
            <w:vAlign w:val="center"/>
            <w:hideMark/>
          </w:tcPr>
          <w:p w14:paraId="04C00FB5" w14:textId="77777777" w:rsidR="00195C26" w:rsidRPr="00017070" w:rsidRDefault="00195C26" w:rsidP="00017070">
            <w:pPr>
              <w:spacing w:before="0" w:after="0"/>
              <w:ind w:firstLine="0"/>
              <w:jc w:val="right"/>
              <w:rPr>
                <w:rFonts w:cs="Times New Roman"/>
                <w:sz w:val="20"/>
                <w:szCs w:val="20"/>
                <w:lang w:eastAsia="fr-FR"/>
              </w:rPr>
            </w:pPr>
            <w:r w:rsidRPr="00017070">
              <w:rPr>
                <w:rFonts w:cs="Times New Roman"/>
                <w:sz w:val="20"/>
                <w:szCs w:val="20"/>
                <w:lang w:eastAsia="fr-FR"/>
              </w:rPr>
              <w:t> </w:t>
            </w:r>
          </w:p>
        </w:tc>
      </w:tr>
      <w:tr w:rsidR="00195C26" w:rsidRPr="00017070" w14:paraId="6C1BA48B" w14:textId="320930A3" w:rsidTr="00195C26">
        <w:trPr>
          <w:trHeight w:val="315"/>
        </w:trPr>
        <w:tc>
          <w:tcPr>
            <w:tcW w:w="0" w:type="auto"/>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8FC228" w14:textId="77777777" w:rsidR="00195C26" w:rsidRPr="00017070" w:rsidRDefault="00195C26" w:rsidP="00017070">
            <w:pPr>
              <w:spacing w:before="0" w:after="0"/>
              <w:ind w:firstLine="0"/>
              <w:jc w:val="center"/>
              <w:rPr>
                <w:rFonts w:cs="Times New Roman"/>
                <w:b/>
                <w:bCs/>
                <w:color w:val="000000"/>
                <w:sz w:val="22"/>
                <w:lang w:eastAsia="fr-FR"/>
              </w:rPr>
            </w:pPr>
            <w:r w:rsidRPr="00017070">
              <w:rPr>
                <w:rFonts w:cs="Times New Roman"/>
                <w:b/>
                <w:bCs/>
                <w:color w:val="000000"/>
                <w:sz w:val="22"/>
                <w:lang w:eastAsia="fr-FR"/>
              </w:rPr>
              <w:t>TOTAL</w:t>
            </w:r>
          </w:p>
        </w:tc>
        <w:tc>
          <w:tcPr>
            <w:tcW w:w="0" w:type="auto"/>
            <w:tcBorders>
              <w:top w:val="nil"/>
              <w:left w:val="nil"/>
              <w:bottom w:val="single" w:sz="4" w:space="0" w:color="auto"/>
              <w:right w:val="single" w:sz="4" w:space="0" w:color="auto"/>
            </w:tcBorders>
            <w:shd w:val="clear" w:color="auto" w:fill="auto"/>
            <w:noWrap/>
            <w:vAlign w:val="center"/>
            <w:hideMark/>
          </w:tcPr>
          <w:p w14:paraId="1818427D" w14:textId="77777777" w:rsidR="00195C26" w:rsidRPr="00017070" w:rsidRDefault="00195C26" w:rsidP="00017070">
            <w:pPr>
              <w:spacing w:before="0" w:after="0"/>
              <w:ind w:firstLine="0"/>
              <w:jc w:val="right"/>
              <w:rPr>
                <w:rFonts w:cs="Times New Roman"/>
                <w:b/>
                <w:bCs/>
                <w:color w:val="000000"/>
                <w:sz w:val="22"/>
                <w:lang w:eastAsia="fr-FR"/>
              </w:rPr>
            </w:pPr>
            <w:r w:rsidRPr="00017070">
              <w:rPr>
                <w:rFonts w:cs="Times New Roman"/>
                <w:b/>
                <w:bCs/>
                <w:color w:val="000000"/>
                <w:sz w:val="22"/>
                <w:lang w:eastAsia="fr-FR"/>
              </w:rPr>
              <w:t>106</w:t>
            </w:r>
          </w:p>
        </w:tc>
        <w:tc>
          <w:tcPr>
            <w:tcW w:w="0" w:type="auto"/>
            <w:tcBorders>
              <w:top w:val="nil"/>
              <w:left w:val="nil"/>
              <w:bottom w:val="single" w:sz="4" w:space="0" w:color="auto"/>
              <w:right w:val="single" w:sz="4" w:space="0" w:color="auto"/>
            </w:tcBorders>
            <w:shd w:val="clear" w:color="auto" w:fill="auto"/>
            <w:noWrap/>
            <w:vAlign w:val="center"/>
            <w:hideMark/>
          </w:tcPr>
          <w:p w14:paraId="75BB7399" w14:textId="77777777" w:rsidR="00195C26" w:rsidRPr="00017070" w:rsidRDefault="00195C26" w:rsidP="00017070">
            <w:pPr>
              <w:spacing w:before="0" w:after="0"/>
              <w:ind w:firstLine="0"/>
              <w:jc w:val="right"/>
              <w:rPr>
                <w:rFonts w:cs="Times New Roman"/>
                <w:b/>
                <w:bCs/>
                <w:color w:val="000000"/>
                <w:sz w:val="22"/>
                <w:lang w:eastAsia="fr-FR"/>
              </w:rPr>
            </w:pPr>
            <w:r w:rsidRPr="00017070">
              <w:rPr>
                <w:rFonts w:cs="Times New Roman"/>
                <w:b/>
                <w:bCs/>
                <w:color w:val="000000"/>
                <w:sz w:val="22"/>
                <w:lang w:eastAsia="fr-FR"/>
              </w:rPr>
              <w:t>137</w:t>
            </w:r>
          </w:p>
        </w:tc>
        <w:tc>
          <w:tcPr>
            <w:tcW w:w="0" w:type="auto"/>
            <w:tcBorders>
              <w:top w:val="nil"/>
              <w:left w:val="nil"/>
              <w:bottom w:val="single" w:sz="4" w:space="0" w:color="auto"/>
              <w:right w:val="single" w:sz="4" w:space="0" w:color="auto"/>
            </w:tcBorders>
            <w:shd w:val="clear" w:color="auto" w:fill="auto"/>
            <w:noWrap/>
            <w:vAlign w:val="center"/>
            <w:hideMark/>
          </w:tcPr>
          <w:p w14:paraId="334EABA5" w14:textId="77777777" w:rsidR="00195C26" w:rsidRPr="00017070" w:rsidRDefault="00195C26" w:rsidP="00017070">
            <w:pPr>
              <w:spacing w:before="0" w:after="0"/>
              <w:ind w:firstLine="0"/>
              <w:jc w:val="right"/>
              <w:rPr>
                <w:rFonts w:cs="Times New Roman"/>
                <w:b/>
                <w:bCs/>
                <w:color w:val="000000"/>
                <w:sz w:val="22"/>
                <w:lang w:eastAsia="fr-FR"/>
              </w:rPr>
            </w:pPr>
            <w:r w:rsidRPr="00017070">
              <w:rPr>
                <w:rFonts w:cs="Times New Roman"/>
                <w:b/>
                <w:bCs/>
                <w:color w:val="000000"/>
                <w:sz w:val="22"/>
                <w:lang w:eastAsia="fr-FR"/>
              </w:rPr>
              <w:t>208</w:t>
            </w:r>
          </w:p>
        </w:tc>
      </w:tr>
    </w:tbl>
    <w:p w14:paraId="2AB258D3" w14:textId="3FB1C133" w:rsidR="00D10B7B" w:rsidRPr="0062024F" w:rsidRDefault="0062024F" w:rsidP="00D10B7B">
      <w:pPr>
        <w:rPr>
          <w:i/>
          <w:sz w:val="20"/>
          <w:szCs w:val="20"/>
        </w:rPr>
      </w:pPr>
      <w:r w:rsidRPr="0062024F">
        <w:rPr>
          <w:i/>
          <w:sz w:val="20"/>
          <w:szCs w:val="20"/>
        </w:rPr>
        <w:t>Source : Cour des comptes, d’après les réponses à l’enquêt</w:t>
      </w:r>
      <w:r>
        <w:rPr>
          <w:i/>
          <w:sz w:val="20"/>
          <w:szCs w:val="20"/>
        </w:rPr>
        <w:t>e.</w:t>
      </w:r>
    </w:p>
    <w:p w14:paraId="0B251448" w14:textId="77777777" w:rsidR="002F6BC4" w:rsidRDefault="002F6BC4" w:rsidP="00D10B7B">
      <w:pPr>
        <w:rPr>
          <w:i/>
          <w:sz w:val="20"/>
          <w:szCs w:val="20"/>
        </w:rPr>
        <w:sectPr w:rsidR="002F6BC4" w:rsidSect="00562F35">
          <w:pgSz w:w="11906" w:h="16838" w:code="9"/>
          <w:pgMar w:top="1701" w:right="1418" w:bottom="1701" w:left="1418" w:header="567" w:footer="567" w:gutter="0"/>
          <w:cols w:space="708"/>
          <w:docGrid w:linePitch="360"/>
        </w:sectPr>
      </w:pPr>
    </w:p>
    <w:p w14:paraId="5142CB41" w14:textId="04F0846E" w:rsidR="00D307DC" w:rsidRDefault="00D307DC" w:rsidP="000F2B93">
      <w:pPr>
        <w:pStyle w:val="Titre1"/>
        <w:jc w:val="center"/>
      </w:pPr>
      <w:bookmarkStart w:id="29" w:name="_Toc139283521"/>
      <w:bookmarkStart w:id="30" w:name="_Toc139283522"/>
      <w:bookmarkStart w:id="31" w:name="_Toc139283523"/>
      <w:bookmarkStart w:id="32" w:name="_Toc139283524"/>
      <w:bookmarkStart w:id="33" w:name="_Toc139283525"/>
      <w:bookmarkStart w:id="34" w:name="_Toc139283526"/>
      <w:bookmarkStart w:id="35" w:name="_Toc139283527"/>
      <w:bookmarkStart w:id="36" w:name="_Toc160528291"/>
      <w:bookmarkEnd w:id="29"/>
      <w:bookmarkEnd w:id="30"/>
      <w:bookmarkEnd w:id="31"/>
      <w:bookmarkEnd w:id="32"/>
      <w:bookmarkEnd w:id="33"/>
      <w:bookmarkEnd w:id="34"/>
      <w:bookmarkEnd w:id="35"/>
      <w:r>
        <w:lastRenderedPageBreak/>
        <w:t>Représentation de l’expertise française au sein du GIEC</w:t>
      </w:r>
      <w:bookmarkEnd w:id="36"/>
    </w:p>
    <w:p w14:paraId="48E522FA" w14:textId="77777777" w:rsidR="00F93206" w:rsidRDefault="00F93206" w:rsidP="00F93206">
      <w:pPr>
        <w:pStyle w:val="Titregraphique"/>
        <w:spacing w:before="400"/>
      </w:pPr>
      <w:r>
        <w:t xml:space="preserve"> Répartition par pays des principaux auteurs </w:t>
      </w:r>
      <w:r>
        <w:br/>
        <w:t>des rapports des trois groupes du GIEC (6</w:t>
      </w:r>
      <w:r w:rsidRPr="00823B0D">
        <w:t>e</w:t>
      </w:r>
      <w:r>
        <w:t xml:space="preserve"> cycle)</w:t>
      </w:r>
    </w:p>
    <w:p w14:paraId="197BA232" w14:textId="77777777" w:rsidR="00F93206" w:rsidRDefault="00F93206" w:rsidP="00F93206">
      <w:r w:rsidRPr="00823B0D">
        <w:rPr>
          <w:noProof/>
        </w:rPr>
        <w:drawing>
          <wp:inline distT="0" distB="0" distL="0" distR="0" wp14:anchorId="18EE92EC" wp14:editId="138731FE">
            <wp:extent cx="3960495" cy="1929765"/>
            <wp:effectExtent l="0" t="0" r="1905" b="13335"/>
            <wp:docPr id="6" name="Graphique 6">
              <a:extLst xmlns:a="http://schemas.openxmlformats.org/drawingml/2006/main">
                <a:ext uri="{FF2B5EF4-FFF2-40B4-BE49-F238E27FC236}">
                  <a16:creationId xmlns:a16="http://schemas.microsoft.com/office/drawing/2014/main" id="{BF41720A-6177-4008-8DFA-6E651D56B8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370A15AE" w14:textId="77777777" w:rsidR="00F93206" w:rsidRDefault="00F93206" w:rsidP="00F93206">
      <w:pPr>
        <w:pStyle w:val="TexteSource"/>
      </w:pPr>
      <w:r>
        <w:t>Source : Cour des comptes d’après le site officiel du GIEC (</w:t>
      </w:r>
      <w:r w:rsidRPr="004B4AF0">
        <w:t>https://apps.ipcc.ch/report/authors/report.authors.php?q=35&amp;p=</w:t>
      </w:r>
      <w:r>
        <w:t xml:space="preserve"> avec q=35, 36 ou 37). Seuls les auteurs principaux sont ici considérés (« coordinating lead authors » et « leads » ainsi que les « leads authors »).</w:t>
      </w:r>
    </w:p>
    <w:p w14:paraId="1A151281" w14:textId="77777777" w:rsidR="00D307DC" w:rsidRPr="008F4486" w:rsidRDefault="00D307DC" w:rsidP="00F61836"/>
    <w:p w14:paraId="394F3074" w14:textId="77777777" w:rsidR="00032054" w:rsidRDefault="00032054">
      <w:pPr>
        <w:spacing w:before="0" w:after="200" w:line="276" w:lineRule="auto"/>
        <w:ind w:firstLine="0"/>
        <w:jc w:val="left"/>
        <w:rPr>
          <w:rFonts w:eastAsiaTheme="majorEastAsia" w:cstheme="majorBidi"/>
          <w:b/>
          <w:bCs/>
          <w:sz w:val="30"/>
          <w:szCs w:val="28"/>
        </w:rPr>
      </w:pPr>
      <w:r>
        <w:br w:type="page"/>
      </w:r>
    </w:p>
    <w:p w14:paraId="06B533F8" w14:textId="0A780472" w:rsidR="00342F55" w:rsidRDefault="00896597" w:rsidP="000F2B93">
      <w:pPr>
        <w:pStyle w:val="Titre1"/>
        <w:jc w:val="center"/>
      </w:pPr>
      <w:bookmarkStart w:id="37" w:name="_Toc160528292"/>
      <w:r>
        <w:lastRenderedPageBreak/>
        <w:t>Group</w:t>
      </w:r>
      <w:r w:rsidR="00277AB2">
        <w:t>es</w:t>
      </w:r>
      <w:r>
        <w:t xml:space="preserve"> régionaux d’expertise sur le climat</w:t>
      </w:r>
      <w:bookmarkEnd w:id="37"/>
    </w:p>
    <w:tbl>
      <w:tblPr>
        <w:tblStyle w:val="Grilledutableau"/>
        <w:tblW w:w="0" w:type="auto"/>
        <w:tblLook w:val="04A0" w:firstRow="1" w:lastRow="0" w:firstColumn="1" w:lastColumn="0" w:noHBand="0" w:noVBand="1"/>
      </w:tblPr>
      <w:tblGrid>
        <w:gridCol w:w="1222"/>
        <w:gridCol w:w="885"/>
        <w:gridCol w:w="2002"/>
        <w:gridCol w:w="796"/>
        <w:gridCol w:w="1924"/>
        <w:gridCol w:w="2112"/>
      </w:tblGrid>
      <w:tr w:rsidR="009B4C5C" w:rsidRPr="00764336" w14:paraId="55C6182A" w14:textId="77777777" w:rsidTr="00764336">
        <w:trPr>
          <w:cnfStyle w:val="100000000000" w:firstRow="1" w:lastRow="0" w:firstColumn="0" w:lastColumn="0" w:oddVBand="0" w:evenVBand="0" w:oddHBand="0"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0" w:type="auto"/>
            <w:hideMark/>
          </w:tcPr>
          <w:p w14:paraId="4C33C4F5" w14:textId="77777777" w:rsidR="009B4C5C" w:rsidRPr="00764336" w:rsidRDefault="009B4C5C" w:rsidP="009B4C5C">
            <w:pPr>
              <w:ind w:firstLine="0"/>
              <w:rPr>
                <w:sz w:val="22"/>
                <w:szCs w:val="18"/>
              </w:rPr>
            </w:pPr>
            <w:r w:rsidRPr="00764336">
              <w:rPr>
                <w:sz w:val="22"/>
                <w:szCs w:val="18"/>
              </w:rPr>
              <w:t>Nom</w:t>
            </w:r>
          </w:p>
        </w:tc>
        <w:tc>
          <w:tcPr>
            <w:tcW w:w="0" w:type="auto"/>
            <w:hideMark/>
          </w:tcPr>
          <w:p w14:paraId="7917CCDB" w14:textId="77777777" w:rsidR="009B4C5C" w:rsidRPr="00764336" w:rsidRDefault="009B4C5C" w:rsidP="009B4C5C">
            <w:pPr>
              <w:ind w:firstLine="0"/>
              <w:cnfStyle w:val="100000000000" w:firstRow="1" w:lastRow="0" w:firstColumn="0" w:lastColumn="0" w:oddVBand="0" w:evenVBand="0" w:oddHBand="0" w:evenHBand="0" w:firstRowFirstColumn="0" w:firstRowLastColumn="0" w:lastRowFirstColumn="0" w:lastRowLastColumn="0"/>
              <w:rPr>
                <w:sz w:val="22"/>
                <w:szCs w:val="18"/>
              </w:rPr>
            </w:pPr>
            <w:r w:rsidRPr="00764336">
              <w:rPr>
                <w:sz w:val="22"/>
                <w:szCs w:val="18"/>
              </w:rPr>
              <w:t>Région</w:t>
            </w:r>
          </w:p>
        </w:tc>
        <w:tc>
          <w:tcPr>
            <w:tcW w:w="0" w:type="auto"/>
            <w:hideMark/>
          </w:tcPr>
          <w:p w14:paraId="211AF64E" w14:textId="77777777" w:rsidR="009B4C5C" w:rsidRPr="00764336" w:rsidRDefault="009B4C5C" w:rsidP="009B4C5C">
            <w:pPr>
              <w:ind w:firstLine="0"/>
              <w:cnfStyle w:val="100000000000" w:firstRow="1" w:lastRow="0" w:firstColumn="0" w:lastColumn="0" w:oddVBand="0" w:evenVBand="0" w:oddHBand="0" w:evenHBand="0" w:firstRowFirstColumn="0" w:firstRowLastColumn="0" w:lastRowFirstColumn="0" w:lastRowLastColumn="0"/>
              <w:rPr>
                <w:sz w:val="22"/>
                <w:szCs w:val="18"/>
              </w:rPr>
            </w:pPr>
            <w:r w:rsidRPr="00764336">
              <w:rPr>
                <w:sz w:val="22"/>
                <w:szCs w:val="18"/>
              </w:rPr>
              <w:t>Site web</w:t>
            </w:r>
          </w:p>
        </w:tc>
        <w:tc>
          <w:tcPr>
            <w:tcW w:w="0" w:type="auto"/>
            <w:hideMark/>
          </w:tcPr>
          <w:p w14:paraId="2267D4D8" w14:textId="77777777" w:rsidR="009B4C5C" w:rsidRPr="00764336" w:rsidRDefault="009B4C5C" w:rsidP="009B4C5C">
            <w:pPr>
              <w:ind w:firstLine="0"/>
              <w:cnfStyle w:val="100000000000" w:firstRow="1" w:lastRow="0" w:firstColumn="0" w:lastColumn="0" w:oddVBand="0" w:evenVBand="0" w:oddHBand="0" w:evenHBand="0" w:firstRowFirstColumn="0" w:firstRowLastColumn="0" w:lastRowFirstColumn="0" w:lastRowLastColumn="0"/>
              <w:rPr>
                <w:sz w:val="22"/>
                <w:szCs w:val="18"/>
              </w:rPr>
            </w:pPr>
            <w:r w:rsidRPr="00764336">
              <w:rPr>
                <w:sz w:val="22"/>
                <w:szCs w:val="18"/>
              </w:rPr>
              <w:t>Structure juridique</w:t>
            </w:r>
          </w:p>
        </w:tc>
        <w:tc>
          <w:tcPr>
            <w:tcW w:w="0" w:type="auto"/>
            <w:noWrap/>
            <w:hideMark/>
          </w:tcPr>
          <w:p w14:paraId="045D3964" w14:textId="77777777" w:rsidR="009B4C5C" w:rsidRPr="00764336" w:rsidRDefault="009B4C5C" w:rsidP="009B4C5C">
            <w:pPr>
              <w:ind w:firstLine="0"/>
              <w:cnfStyle w:val="100000000000" w:firstRow="1" w:lastRow="0" w:firstColumn="0" w:lastColumn="0" w:oddVBand="0" w:evenVBand="0" w:oddHBand="0" w:evenHBand="0" w:firstRowFirstColumn="0" w:firstRowLastColumn="0" w:lastRowFirstColumn="0" w:lastRowLastColumn="0"/>
              <w:rPr>
                <w:sz w:val="22"/>
                <w:szCs w:val="18"/>
              </w:rPr>
            </w:pPr>
            <w:r w:rsidRPr="00764336">
              <w:rPr>
                <w:sz w:val="22"/>
                <w:szCs w:val="18"/>
              </w:rPr>
              <w:t>Date de création (date de la première action significative)</w:t>
            </w:r>
          </w:p>
        </w:tc>
        <w:tc>
          <w:tcPr>
            <w:tcW w:w="0" w:type="auto"/>
            <w:hideMark/>
          </w:tcPr>
          <w:p w14:paraId="076F596B" w14:textId="77777777" w:rsidR="009B4C5C" w:rsidRPr="00764336" w:rsidRDefault="009B4C5C" w:rsidP="009B4C5C">
            <w:pPr>
              <w:ind w:firstLine="0"/>
              <w:cnfStyle w:val="100000000000" w:firstRow="1" w:lastRow="0" w:firstColumn="0" w:lastColumn="0" w:oddVBand="0" w:evenVBand="0" w:oddHBand="0" w:evenHBand="0" w:firstRowFirstColumn="0" w:firstRowLastColumn="0" w:lastRowFirstColumn="0" w:lastRowLastColumn="0"/>
              <w:rPr>
                <w:sz w:val="22"/>
                <w:szCs w:val="18"/>
              </w:rPr>
            </w:pPr>
            <w:r w:rsidRPr="00764336">
              <w:rPr>
                <w:sz w:val="22"/>
                <w:szCs w:val="18"/>
              </w:rPr>
              <w:t>Financeurs principaux</w:t>
            </w:r>
          </w:p>
        </w:tc>
      </w:tr>
      <w:tr w:rsidR="009B4C5C" w:rsidRPr="00764336" w14:paraId="1E9C88B6" w14:textId="77777777" w:rsidTr="0076433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2B99E93D" w14:textId="77777777" w:rsidR="009B4C5C" w:rsidRPr="00764336" w:rsidRDefault="009B4C5C" w:rsidP="009B4C5C">
            <w:pPr>
              <w:ind w:firstLine="0"/>
              <w:rPr>
                <w:sz w:val="22"/>
                <w:szCs w:val="18"/>
              </w:rPr>
            </w:pPr>
            <w:r w:rsidRPr="00764336">
              <w:rPr>
                <w:sz w:val="22"/>
                <w:szCs w:val="18"/>
              </w:rPr>
              <w:t>AclimaTerra</w:t>
            </w:r>
          </w:p>
        </w:tc>
        <w:tc>
          <w:tcPr>
            <w:tcW w:w="0" w:type="auto"/>
            <w:noWrap/>
            <w:hideMark/>
          </w:tcPr>
          <w:p w14:paraId="4A9584CE"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Nouvelle-Aquitaine</w:t>
            </w:r>
          </w:p>
        </w:tc>
        <w:tc>
          <w:tcPr>
            <w:tcW w:w="0" w:type="auto"/>
            <w:noWrap/>
            <w:hideMark/>
          </w:tcPr>
          <w:p w14:paraId="65149CCA" w14:textId="77777777" w:rsidR="009B4C5C" w:rsidRPr="00764336" w:rsidRDefault="009C0838" w:rsidP="009B4C5C">
            <w:pPr>
              <w:ind w:firstLine="0"/>
              <w:cnfStyle w:val="000000100000" w:firstRow="0" w:lastRow="0" w:firstColumn="0" w:lastColumn="0" w:oddVBand="0" w:evenVBand="0" w:oddHBand="1" w:evenHBand="0" w:firstRowFirstColumn="0" w:firstRowLastColumn="0" w:lastRowFirstColumn="0" w:lastRowLastColumn="0"/>
              <w:rPr>
                <w:sz w:val="22"/>
                <w:szCs w:val="18"/>
                <w:u w:val="single"/>
              </w:rPr>
            </w:pPr>
            <w:hyperlink r:id="rId40" w:history="1">
              <w:r w:rsidR="009B4C5C" w:rsidRPr="00764336">
                <w:rPr>
                  <w:rStyle w:val="Lienhypertexte"/>
                  <w:sz w:val="22"/>
                  <w:szCs w:val="18"/>
                </w:rPr>
                <w:t>http://www.acclimaterra.fr</w:t>
              </w:r>
            </w:hyperlink>
          </w:p>
        </w:tc>
        <w:tc>
          <w:tcPr>
            <w:tcW w:w="0" w:type="auto"/>
            <w:noWrap/>
            <w:hideMark/>
          </w:tcPr>
          <w:p w14:paraId="62CFD5EF"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Association loi 1901</w:t>
            </w:r>
          </w:p>
        </w:tc>
        <w:tc>
          <w:tcPr>
            <w:tcW w:w="0" w:type="auto"/>
            <w:noWrap/>
            <w:hideMark/>
          </w:tcPr>
          <w:p w14:paraId="5A4F28E2"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2011</w:t>
            </w:r>
          </w:p>
        </w:tc>
        <w:tc>
          <w:tcPr>
            <w:tcW w:w="0" w:type="auto"/>
            <w:noWrap/>
            <w:hideMark/>
          </w:tcPr>
          <w:p w14:paraId="29E057FF"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Région Nouvelle-Aquitaine</w:t>
            </w:r>
          </w:p>
        </w:tc>
      </w:tr>
      <w:tr w:rsidR="00277AB2" w:rsidRPr="00764336" w14:paraId="7A389FBD" w14:textId="77777777" w:rsidTr="00764336">
        <w:trPr>
          <w:trHeight w:val="1500"/>
        </w:trPr>
        <w:tc>
          <w:tcPr>
            <w:cnfStyle w:val="001000000000" w:firstRow="0" w:lastRow="0" w:firstColumn="1" w:lastColumn="0" w:oddVBand="0" w:evenVBand="0" w:oddHBand="0" w:evenHBand="0" w:firstRowFirstColumn="0" w:firstRowLastColumn="0" w:lastRowFirstColumn="0" w:lastRowLastColumn="0"/>
            <w:tcW w:w="0" w:type="auto"/>
            <w:noWrap/>
            <w:hideMark/>
          </w:tcPr>
          <w:p w14:paraId="763574FF" w14:textId="77777777" w:rsidR="009B4C5C" w:rsidRPr="00764336" w:rsidRDefault="009B4C5C" w:rsidP="009B4C5C">
            <w:pPr>
              <w:ind w:firstLine="0"/>
              <w:rPr>
                <w:sz w:val="22"/>
                <w:szCs w:val="18"/>
              </w:rPr>
            </w:pPr>
            <w:r w:rsidRPr="00764336">
              <w:rPr>
                <w:sz w:val="22"/>
                <w:szCs w:val="18"/>
              </w:rPr>
              <w:t>GREC Alpes-Auvergne</w:t>
            </w:r>
          </w:p>
        </w:tc>
        <w:tc>
          <w:tcPr>
            <w:tcW w:w="0" w:type="auto"/>
            <w:noWrap/>
            <w:hideMark/>
          </w:tcPr>
          <w:p w14:paraId="7BD65464"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Auvergne-Rhône-Alpes</w:t>
            </w:r>
          </w:p>
        </w:tc>
        <w:tc>
          <w:tcPr>
            <w:tcW w:w="0" w:type="auto"/>
            <w:noWrap/>
            <w:hideMark/>
          </w:tcPr>
          <w:p w14:paraId="687086F9" w14:textId="77777777" w:rsidR="009B4C5C" w:rsidRPr="00764336" w:rsidRDefault="009C0838" w:rsidP="009B4C5C">
            <w:pPr>
              <w:ind w:firstLine="0"/>
              <w:cnfStyle w:val="000000000000" w:firstRow="0" w:lastRow="0" w:firstColumn="0" w:lastColumn="0" w:oddVBand="0" w:evenVBand="0" w:oddHBand="0" w:evenHBand="0" w:firstRowFirstColumn="0" w:firstRowLastColumn="0" w:lastRowFirstColumn="0" w:lastRowLastColumn="0"/>
              <w:rPr>
                <w:sz w:val="22"/>
                <w:szCs w:val="18"/>
                <w:u w:val="single"/>
              </w:rPr>
            </w:pPr>
            <w:hyperlink r:id="rId41" w:history="1">
              <w:r w:rsidR="009B4C5C" w:rsidRPr="00764336">
                <w:rPr>
                  <w:rStyle w:val="Lienhypertexte"/>
                  <w:sz w:val="22"/>
                  <w:szCs w:val="18"/>
                </w:rPr>
                <w:t>https://grec-alpes-auvergne.osug.fr</w:t>
              </w:r>
            </w:hyperlink>
          </w:p>
        </w:tc>
        <w:tc>
          <w:tcPr>
            <w:tcW w:w="0" w:type="auto"/>
            <w:noWrap/>
            <w:hideMark/>
          </w:tcPr>
          <w:p w14:paraId="3FF6E808"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Aucun</w:t>
            </w:r>
          </w:p>
        </w:tc>
        <w:tc>
          <w:tcPr>
            <w:tcW w:w="0" w:type="auto"/>
            <w:noWrap/>
            <w:hideMark/>
          </w:tcPr>
          <w:p w14:paraId="7E30521F"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2012 (anciennement Ouranos AURA jusqu'en 2023)</w:t>
            </w:r>
          </w:p>
        </w:tc>
        <w:tc>
          <w:tcPr>
            <w:tcW w:w="0" w:type="auto"/>
            <w:hideMark/>
          </w:tcPr>
          <w:p w14:paraId="1ECB5996"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Etablissements et/ou des collectivités territoriales impliqués dans le GREC, ainsi que via les projets inter ou transdisciplinaires dans lesquels la structure serait impliquée</w:t>
            </w:r>
          </w:p>
        </w:tc>
      </w:tr>
      <w:tr w:rsidR="009B4C5C" w:rsidRPr="00764336" w14:paraId="33E5FC71" w14:textId="77777777" w:rsidTr="0076433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6955041A" w14:textId="77777777" w:rsidR="009B4C5C" w:rsidRPr="00764336" w:rsidRDefault="009B4C5C" w:rsidP="009B4C5C">
            <w:pPr>
              <w:ind w:firstLine="0"/>
              <w:rPr>
                <w:sz w:val="22"/>
                <w:szCs w:val="18"/>
              </w:rPr>
            </w:pPr>
            <w:r w:rsidRPr="00764336">
              <w:rPr>
                <w:sz w:val="22"/>
                <w:szCs w:val="18"/>
              </w:rPr>
              <w:t>GREC-Sud</w:t>
            </w:r>
          </w:p>
        </w:tc>
        <w:tc>
          <w:tcPr>
            <w:tcW w:w="0" w:type="auto"/>
            <w:noWrap/>
            <w:hideMark/>
          </w:tcPr>
          <w:p w14:paraId="7D8B4FC1"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PACA</w:t>
            </w:r>
          </w:p>
        </w:tc>
        <w:tc>
          <w:tcPr>
            <w:tcW w:w="0" w:type="auto"/>
            <w:noWrap/>
            <w:hideMark/>
          </w:tcPr>
          <w:p w14:paraId="647F980C" w14:textId="77777777" w:rsidR="009B4C5C" w:rsidRPr="00764336" w:rsidRDefault="009C0838" w:rsidP="009B4C5C">
            <w:pPr>
              <w:ind w:firstLine="0"/>
              <w:cnfStyle w:val="000000100000" w:firstRow="0" w:lastRow="0" w:firstColumn="0" w:lastColumn="0" w:oddVBand="0" w:evenVBand="0" w:oddHBand="1" w:evenHBand="0" w:firstRowFirstColumn="0" w:firstRowLastColumn="0" w:lastRowFirstColumn="0" w:lastRowLastColumn="0"/>
              <w:rPr>
                <w:sz w:val="22"/>
                <w:szCs w:val="18"/>
                <w:u w:val="single"/>
              </w:rPr>
            </w:pPr>
            <w:hyperlink r:id="rId42" w:history="1">
              <w:r w:rsidR="009B4C5C" w:rsidRPr="00764336">
                <w:rPr>
                  <w:rStyle w:val="Lienhypertexte"/>
                  <w:sz w:val="22"/>
                  <w:szCs w:val="18"/>
                </w:rPr>
                <w:t>http://www.grec-sud.fr</w:t>
              </w:r>
            </w:hyperlink>
          </w:p>
        </w:tc>
        <w:tc>
          <w:tcPr>
            <w:tcW w:w="0" w:type="auto"/>
            <w:noWrap/>
            <w:hideMark/>
          </w:tcPr>
          <w:p w14:paraId="0DF8E4CC"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Association loi 1901</w:t>
            </w:r>
          </w:p>
        </w:tc>
        <w:tc>
          <w:tcPr>
            <w:tcW w:w="0" w:type="auto"/>
            <w:noWrap/>
            <w:hideMark/>
          </w:tcPr>
          <w:p w14:paraId="206E10D2"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2015</w:t>
            </w:r>
          </w:p>
        </w:tc>
        <w:tc>
          <w:tcPr>
            <w:tcW w:w="0" w:type="auto"/>
            <w:noWrap/>
            <w:hideMark/>
          </w:tcPr>
          <w:p w14:paraId="3988104C"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 xml:space="preserve">Région PACA; ADEME </w:t>
            </w:r>
          </w:p>
        </w:tc>
      </w:tr>
      <w:tr w:rsidR="00277AB2" w:rsidRPr="00764336" w14:paraId="32DBBF93" w14:textId="77777777" w:rsidTr="00764336">
        <w:trPr>
          <w:trHeight w:val="600"/>
        </w:trPr>
        <w:tc>
          <w:tcPr>
            <w:cnfStyle w:val="001000000000" w:firstRow="0" w:lastRow="0" w:firstColumn="1" w:lastColumn="0" w:oddVBand="0" w:evenVBand="0" w:oddHBand="0" w:evenHBand="0" w:firstRowFirstColumn="0" w:firstRowLastColumn="0" w:lastRowFirstColumn="0" w:lastRowLastColumn="0"/>
            <w:tcW w:w="0" w:type="auto"/>
            <w:noWrap/>
            <w:hideMark/>
          </w:tcPr>
          <w:p w14:paraId="191243CF" w14:textId="77777777" w:rsidR="009B4C5C" w:rsidRPr="00764336" w:rsidRDefault="009B4C5C" w:rsidP="009B4C5C">
            <w:pPr>
              <w:ind w:firstLine="0"/>
              <w:rPr>
                <w:sz w:val="22"/>
                <w:szCs w:val="18"/>
              </w:rPr>
            </w:pPr>
            <w:r w:rsidRPr="00764336">
              <w:rPr>
                <w:sz w:val="22"/>
                <w:szCs w:val="18"/>
              </w:rPr>
              <w:t>RECO</w:t>
            </w:r>
          </w:p>
        </w:tc>
        <w:tc>
          <w:tcPr>
            <w:tcW w:w="0" w:type="auto"/>
            <w:noWrap/>
            <w:hideMark/>
          </w:tcPr>
          <w:p w14:paraId="6CC01DFC"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Occitanie</w:t>
            </w:r>
          </w:p>
        </w:tc>
        <w:tc>
          <w:tcPr>
            <w:tcW w:w="0" w:type="auto"/>
            <w:noWrap/>
            <w:hideMark/>
          </w:tcPr>
          <w:p w14:paraId="214B38D2" w14:textId="77777777" w:rsidR="009B4C5C" w:rsidRPr="00764336" w:rsidRDefault="009C0838" w:rsidP="009B4C5C">
            <w:pPr>
              <w:ind w:firstLine="0"/>
              <w:cnfStyle w:val="000000000000" w:firstRow="0" w:lastRow="0" w:firstColumn="0" w:lastColumn="0" w:oddVBand="0" w:evenVBand="0" w:oddHBand="0" w:evenHBand="0" w:firstRowFirstColumn="0" w:firstRowLastColumn="0" w:lastRowFirstColumn="0" w:lastRowLastColumn="0"/>
              <w:rPr>
                <w:sz w:val="22"/>
                <w:szCs w:val="18"/>
                <w:u w:val="single"/>
              </w:rPr>
            </w:pPr>
            <w:hyperlink r:id="rId43" w:history="1">
              <w:r w:rsidR="009B4C5C" w:rsidRPr="00764336">
                <w:rPr>
                  <w:rStyle w:val="Lienhypertexte"/>
                  <w:sz w:val="22"/>
                  <w:szCs w:val="18"/>
                </w:rPr>
                <w:t>https://reco-occitanie.org</w:t>
              </w:r>
            </w:hyperlink>
          </w:p>
        </w:tc>
        <w:tc>
          <w:tcPr>
            <w:tcW w:w="0" w:type="auto"/>
            <w:noWrap/>
            <w:hideMark/>
          </w:tcPr>
          <w:p w14:paraId="5DCF95E5"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Association loi 1901</w:t>
            </w:r>
          </w:p>
        </w:tc>
        <w:tc>
          <w:tcPr>
            <w:tcW w:w="0" w:type="auto"/>
            <w:noWrap/>
            <w:hideMark/>
          </w:tcPr>
          <w:p w14:paraId="7FB66893"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2018</w:t>
            </w:r>
          </w:p>
        </w:tc>
        <w:tc>
          <w:tcPr>
            <w:tcW w:w="0" w:type="auto"/>
            <w:hideMark/>
          </w:tcPr>
          <w:p w14:paraId="13D6CF4F"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rPr>
            </w:pPr>
            <w:r w:rsidRPr="00764336">
              <w:rPr>
                <w:sz w:val="22"/>
                <w:szCs w:val="18"/>
              </w:rPr>
              <w:t>Région Occitanie; ADEME; LabEx AGRO 2011-LABX-002</w:t>
            </w:r>
          </w:p>
        </w:tc>
      </w:tr>
      <w:tr w:rsidR="009B4C5C" w:rsidRPr="00764336" w14:paraId="71139C86" w14:textId="77777777" w:rsidTr="0076433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335134E2" w14:textId="77777777" w:rsidR="009B4C5C" w:rsidRPr="00764336" w:rsidRDefault="009B4C5C" w:rsidP="009B4C5C">
            <w:pPr>
              <w:ind w:firstLine="0"/>
              <w:rPr>
                <w:sz w:val="22"/>
                <w:szCs w:val="18"/>
              </w:rPr>
            </w:pPr>
            <w:r w:rsidRPr="00764336">
              <w:rPr>
                <w:sz w:val="22"/>
                <w:szCs w:val="18"/>
              </w:rPr>
              <w:t>Synergîles</w:t>
            </w:r>
          </w:p>
        </w:tc>
        <w:tc>
          <w:tcPr>
            <w:tcW w:w="0" w:type="auto"/>
            <w:noWrap/>
            <w:hideMark/>
          </w:tcPr>
          <w:p w14:paraId="4D668AB5"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Guadeloupe</w:t>
            </w:r>
          </w:p>
        </w:tc>
        <w:tc>
          <w:tcPr>
            <w:tcW w:w="0" w:type="auto"/>
            <w:noWrap/>
            <w:hideMark/>
          </w:tcPr>
          <w:p w14:paraId="71E41BF7" w14:textId="77777777" w:rsidR="009B4C5C" w:rsidRPr="00764336" w:rsidRDefault="009C0838" w:rsidP="009B4C5C">
            <w:pPr>
              <w:ind w:firstLine="0"/>
              <w:cnfStyle w:val="000000100000" w:firstRow="0" w:lastRow="0" w:firstColumn="0" w:lastColumn="0" w:oddVBand="0" w:evenVBand="0" w:oddHBand="1" w:evenHBand="0" w:firstRowFirstColumn="0" w:firstRowLastColumn="0" w:lastRowFirstColumn="0" w:lastRowLastColumn="0"/>
              <w:rPr>
                <w:sz w:val="22"/>
                <w:szCs w:val="18"/>
                <w:u w:val="single"/>
              </w:rPr>
            </w:pPr>
            <w:hyperlink r:id="rId44" w:history="1">
              <w:r w:rsidR="009B4C5C" w:rsidRPr="00764336">
                <w:rPr>
                  <w:rStyle w:val="Lienhypertexte"/>
                  <w:sz w:val="22"/>
                  <w:szCs w:val="18"/>
                </w:rPr>
                <w:t>https://www.synergile.fr</w:t>
              </w:r>
            </w:hyperlink>
          </w:p>
        </w:tc>
        <w:tc>
          <w:tcPr>
            <w:tcW w:w="0" w:type="auto"/>
            <w:noWrap/>
            <w:hideMark/>
          </w:tcPr>
          <w:p w14:paraId="5711C73E"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Association loi 1901</w:t>
            </w:r>
          </w:p>
        </w:tc>
        <w:tc>
          <w:tcPr>
            <w:tcW w:w="0" w:type="auto"/>
            <w:noWrap/>
            <w:hideMark/>
          </w:tcPr>
          <w:p w14:paraId="601580BF"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2015</w:t>
            </w:r>
          </w:p>
        </w:tc>
        <w:tc>
          <w:tcPr>
            <w:tcW w:w="0" w:type="auto"/>
            <w:noWrap/>
            <w:hideMark/>
          </w:tcPr>
          <w:p w14:paraId="33F8F674"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szCs w:val="18"/>
              </w:rPr>
            </w:pPr>
            <w:r w:rsidRPr="00764336">
              <w:rPr>
                <w:sz w:val="22"/>
                <w:szCs w:val="18"/>
              </w:rPr>
              <w:t>Région Guadeloupe; ADEME; Préfecture de la Région Guadeloupe</w:t>
            </w:r>
          </w:p>
        </w:tc>
      </w:tr>
      <w:tr w:rsidR="00277AB2" w:rsidRPr="00764336" w14:paraId="43EE8538" w14:textId="77777777" w:rsidTr="00764336">
        <w:trPr>
          <w:trHeight w:val="600"/>
        </w:trPr>
        <w:tc>
          <w:tcPr>
            <w:cnfStyle w:val="001000000000" w:firstRow="0" w:lastRow="0" w:firstColumn="1" w:lastColumn="0" w:oddVBand="0" w:evenVBand="0" w:oddHBand="0" w:evenHBand="0" w:firstRowFirstColumn="0" w:firstRowLastColumn="0" w:lastRowFirstColumn="0" w:lastRowLastColumn="0"/>
            <w:tcW w:w="0" w:type="auto"/>
            <w:noWrap/>
            <w:hideMark/>
          </w:tcPr>
          <w:p w14:paraId="1868BF76" w14:textId="77777777" w:rsidR="009B4C5C" w:rsidRPr="00764336" w:rsidRDefault="009B4C5C" w:rsidP="009B4C5C">
            <w:pPr>
              <w:ind w:firstLine="0"/>
              <w:rPr>
                <w:sz w:val="22"/>
              </w:rPr>
            </w:pPr>
            <w:r w:rsidRPr="00764336">
              <w:rPr>
                <w:sz w:val="22"/>
              </w:rPr>
              <w:t>GREC francilien</w:t>
            </w:r>
          </w:p>
        </w:tc>
        <w:tc>
          <w:tcPr>
            <w:tcW w:w="0" w:type="auto"/>
            <w:noWrap/>
            <w:hideMark/>
          </w:tcPr>
          <w:p w14:paraId="0585D23C"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Ile-de-France</w:t>
            </w:r>
          </w:p>
        </w:tc>
        <w:tc>
          <w:tcPr>
            <w:tcW w:w="0" w:type="auto"/>
            <w:noWrap/>
            <w:hideMark/>
          </w:tcPr>
          <w:p w14:paraId="79DEFC65" w14:textId="77777777" w:rsidR="009B4C5C" w:rsidRPr="00764336" w:rsidRDefault="009C0838" w:rsidP="009B4C5C">
            <w:pPr>
              <w:ind w:firstLine="0"/>
              <w:cnfStyle w:val="000000000000" w:firstRow="0" w:lastRow="0" w:firstColumn="0" w:lastColumn="0" w:oddVBand="0" w:evenVBand="0" w:oddHBand="0" w:evenHBand="0" w:firstRowFirstColumn="0" w:firstRowLastColumn="0" w:lastRowFirstColumn="0" w:lastRowLastColumn="0"/>
              <w:rPr>
                <w:sz w:val="22"/>
                <w:u w:val="single"/>
              </w:rPr>
            </w:pPr>
            <w:hyperlink r:id="rId45" w:history="1">
              <w:r w:rsidR="009B4C5C" w:rsidRPr="00764336">
                <w:rPr>
                  <w:rStyle w:val="Lienhypertexte"/>
                  <w:sz w:val="22"/>
                </w:rPr>
                <w:t>https://grec-idf.eu</w:t>
              </w:r>
            </w:hyperlink>
          </w:p>
        </w:tc>
        <w:tc>
          <w:tcPr>
            <w:tcW w:w="0" w:type="auto"/>
            <w:noWrap/>
            <w:hideMark/>
          </w:tcPr>
          <w:p w14:paraId="7A859C29"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Aucun</w:t>
            </w:r>
          </w:p>
        </w:tc>
        <w:tc>
          <w:tcPr>
            <w:tcW w:w="0" w:type="auto"/>
            <w:noWrap/>
            <w:hideMark/>
          </w:tcPr>
          <w:p w14:paraId="72C4B944"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2020</w:t>
            </w:r>
          </w:p>
        </w:tc>
        <w:tc>
          <w:tcPr>
            <w:tcW w:w="0" w:type="auto"/>
            <w:hideMark/>
          </w:tcPr>
          <w:p w14:paraId="000466F5"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Région Ile-de-France; Ville de Paris; CNRS</w:t>
            </w:r>
          </w:p>
        </w:tc>
      </w:tr>
      <w:tr w:rsidR="009B4C5C" w:rsidRPr="00764336" w14:paraId="1E801310" w14:textId="77777777" w:rsidTr="0076433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3079825F" w14:textId="77777777" w:rsidR="009B4C5C" w:rsidRPr="00764336" w:rsidRDefault="009B4C5C" w:rsidP="009B4C5C">
            <w:pPr>
              <w:ind w:firstLine="0"/>
              <w:rPr>
                <w:sz w:val="22"/>
              </w:rPr>
            </w:pPr>
            <w:r w:rsidRPr="00764336">
              <w:rPr>
                <w:sz w:val="22"/>
              </w:rPr>
              <w:t>Climibio</w:t>
            </w:r>
          </w:p>
        </w:tc>
        <w:tc>
          <w:tcPr>
            <w:tcW w:w="0" w:type="auto"/>
            <w:noWrap/>
            <w:hideMark/>
          </w:tcPr>
          <w:p w14:paraId="408B53B9"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Hauts-de-France</w:t>
            </w:r>
          </w:p>
        </w:tc>
        <w:tc>
          <w:tcPr>
            <w:tcW w:w="0" w:type="auto"/>
            <w:noWrap/>
            <w:hideMark/>
          </w:tcPr>
          <w:p w14:paraId="3C17B88C" w14:textId="77777777" w:rsidR="009B4C5C" w:rsidRPr="00764336" w:rsidRDefault="009C0838" w:rsidP="009B4C5C">
            <w:pPr>
              <w:ind w:firstLine="0"/>
              <w:cnfStyle w:val="000000100000" w:firstRow="0" w:lastRow="0" w:firstColumn="0" w:lastColumn="0" w:oddVBand="0" w:evenVBand="0" w:oddHBand="1" w:evenHBand="0" w:firstRowFirstColumn="0" w:firstRowLastColumn="0" w:lastRowFirstColumn="0" w:lastRowLastColumn="0"/>
              <w:rPr>
                <w:sz w:val="22"/>
                <w:u w:val="single"/>
              </w:rPr>
            </w:pPr>
            <w:hyperlink r:id="rId46" w:history="1">
              <w:r w:rsidR="009B4C5C" w:rsidRPr="00764336">
                <w:rPr>
                  <w:rStyle w:val="Lienhypertexte"/>
                  <w:sz w:val="22"/>
                </w:rPr>
                <w:t>https://climibio.univ-lille.fr</w:t>
              </w:r>
            </w:hyperlink>
          </w:p>
        </w:tc>
        <w:tc>
          <w:tcPr>
            <w:tcW w:w="0" w:type="auto"/>
            <w:noWrap/>
            <w:hideMark/>
          </w:tcPr>
          <w:p w14:paraId="750FB29D"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Aucun</w:t>
            </w:r>
          </w:p>
        </w:tc>
        <w:tc>
          <w:tcPr>
            <w:tcW w:w="0" w:type="auto"/>
            <w:noWrap/>
            <w:hideMark/>
          </w:tcPr>
          <w:p w14:paraId="7644367B"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2015</w:t>
            </w:r>
          </w:p>
        </w:tc>
        <w:tc>
          <w:tcPr>
            <w:tcW w:w="0" w:type="auto"/>
            <w:noWrap/>
            <w:hideMark/>
          </w:tcPr>
          <w:p w14:paraId="31EAF9DB"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Région Hauts-de-France, MESR</w:t>
            </w:r>
          </w:p>
        </w:tc>
      </w:tr>
      <w:tr w:rsidR="00277AB2" w:rsidRPr="00764336" w14:paraId="3C8C1376" w14:textId="77777777" w:rsidTr="00764336">
        <w:trPr>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326811BF" w14:textId="77777777" w:rsidR="009B4C5C" w:rsidRPr="00764336" w:rsidRDefault="009B4C5C" w:rsidP="009B4C5C">
            <w:pPr>
              <w:ind w:firstLine="0"/>
              <w:rPr>
                <w:sz w:val="22"/>
              </w:rPr>
            </w:pPr>
            <w:r w:rsidRPr="00764336">
              <w:rPr>
                <w:sz w:val="22"/>
              </w:rPr>
              <w:t>GIEC normand</w:t>
            </w:r>
          </w:p>
        </w:tc>
        <w:tc>
          <w:tcPr>
            <w:tcW w:w="0" w:type="auto"/>
            <w:noWrap/>
            <w:hideMark/>
          </w:tcPr>
          <w:p w14:paraId="5D7DAA6C"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Normandie</w:t>
            </w:r>
          </w:p>
        </w:tc>
        <w:tc>
          <w:tcPr>
            <w:tcW w:w="0" w:type="auto"/>
            <w:noWrap/>
            <w:hideMark/>
          </w:tcPr>
          <w:p w14:paraId="38FFC980" w14:textId="77777777" w:rsidR="009B4C5C" w:rsidRPr="00764336" w:rsidRDefault="009C0838" w:rsidP="009B4C5C">
            <w:pPr>
              <w:ind w:firstLine="0"/>
              <w:cnfStyle w:val="000000000000" w:firstRow="0" w:lastRow="0" w:firstColumn="0" w:lastColumn="0" w:oddVBand="0" w:evenVBand="0" w:oddHBand="0" w:evenHBand="0" w:firstRowFirstColumn="0" w:firstRowLastColumn="0" w:lastRowFirstColumn="0" w:lastRowLastColumn="0"/>
              <w:rPr>
                <w:sz w:val="22"/>
                <w:u w:val="single"/>
              </w:rPr>
            </w:pPr>
            <w:hyperlink r:id="rId47" w:history="1">
              <w:r w:rsidR="009B4C5C" w:rsidRPr="00764336">
                <w:rPr>
                  <w:rStyle w:val="Lienhypertexte"/>
                  <w:sz w:val="22"/>
                </w:rPr>
                <w:t>https://www.normandie.fr/giec-normand</w:t>
              </w:r>
            </w:hyperlink>
          </w:p>
        </w:tc>
        <w:tc>
          <w:tcPr>
            <w:tcW w:w="0" w:type="auto"/>
            <w:noWrap/>
            <w:hideMark/>
          </w:tcPr>
          <w:p w14:paraId="47E20C4A"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Aucun</w:t>
            </w:r>
          </w:p>
        </w:tc>
        <w:tc>
          <w:tcPr>
            <w:tcW w:w="0" w:type="auto"/>
            <w:noWrap/>
            <w:hideMark/>
          </w:tcPr>
          <w:p w14:paraId="45FE5616"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2022</w:t>
            </w:r>
          </w:p>
        </w:tc>
        <w:tc>
          <w:tcPr>
            <w:tcW w:w="0" w:type="auto"/>
            <w:hideMark/>
          </w:tcPr>
          <w:p w14:paraId="493976B7"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Région Normandie</w:t>
            </w:r>
          </w:p>
        </w:tc>
      </w:tr>
      <w:tr w:rsidR="009B4C5C" w:rsidRPr="00764336" w14:paraId="62DD85E5" w14:textId="77777777" w:rsidTr="00764336">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64D36C8F" w14:textId="77777777" w:rsidR="009B4C5C" w:rsidRPr="00764336" w:rsidRDefault="009B4C5C" w:rsidP="009B4C5C">
            <w:pPr>
              <w:ind w:firstLine="0"/>
              <w:rPr>
                <w:sz w:val="22"/>
              </w:rPr>
            </w:pPr>
            <w:r w:rsidRPr="00764336">
              <w:rPr>
                <w:sz w:val="22"/>
              </w:rPr>
              <w:lastRenderedPageBreak/>
              <w:t>GIEC des Pays de la Loire</w:t>
            </w:r>
          </w:p>
        </w:tc>
        <w:tc>
          <w:tcPr>
            <w:tcW w:w="0" w:type="auto"/>
            <w:noWrap/>
            <w:hideMark/>
          </w:tcPr>
          <w:p w14:paraId="1DF889DC"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Pays de la Loire</w:t>
            </w:r>
          </w:p>
        </w:tc>
        <w:tc>
          <w:tcPr>
            <w:tcW w:w="0" w:type="auto"/>
            <w:noWrap/>
            <w:hideMark/>
          </w:tcPr>
          <w:p w14:paraId="62CD8394"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Aucun</w:t>
            </w:r>
          </w:p>
        </w:tc>
        <w:tc>
          <w:tcPr>
            <w:tcW w:w="0" w:type="auto"/>
            <w:noWrap/>
            <w:hideMark/>
          </w:tcPr>
          <w:p w14:paraId="013DA9A0"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Aucun</w:t>
            </w:r>
          </w:p>
        </w:tc>
        <w:tc>
          <w:tcPr>
            <w:tcW w:w="0" w:type="auto"/>
            <w:noWrap/>
            <w:hideMark/>
          </w:tcPr>
          <w:p w14:paraId="35A0FEF8"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2020</w:t>
            </w:r>
          </w:p>
        </w:tc>
        <w:tc>
          <w:tcPr>
            <w:tcW w:w="0" w:type="auto"/>
            <w:noWrap/>
            <w:hideMark/>
          </w:tcPr>
          <w:p w14:paraId="7C625180" w14:textId="77777777" w:rsidR="009B4C5C" w:rsidRPr="00764336" w:rsidRDefault="009B4C5C" w:rsidP="009B4C5C">
            <w:pPr>
              <w:ind w:firstLine="0"/>
              <w:cnfStyle w:val="000000100000" w:firstRow="0" w:lastRow="0" w:firstColumn="0" w:lastColumn="0" w:oddVBand="0" w:evenVBand="0" w:oddHBand="1" w:evenHBand="0" w:firstRowFirstColumn="0" w:firstRowLastColumn="0" w:lastRowFirstColumn="0" w:lastRowLastColumn="0"/>
              <w:rPr>
                <w:sz w:val="22"/>
              </w:rPr>
            </w:pPr>
            <w:r w:rsidRPr="00764336">
              <w:rPr>
                <w:sz w:val="22"/>
              </w:rPr>
              <w:t>Région Pays de la Loire via Comité 21 Grand Ouest</w:t>
            </w:r>
          </w:p>
        </w:tc>
      </w:tr>
      <w:tr w:rsidR="00277AB2" w:rsidRPr="00764336" w14:paraId="3458EE8D" w14:textId="77777777" w:rsidTr="00764336">
        <w:trPr>
          <w:trHeight w:val="300"/>
        </w:trPr>
        <w:tc>
          <w:tcPr>
            <w:cnfStyle w:val="001000000000" w:firstRow="0" w:lastRow="0" w:firstColumn="1" w:lastColumn="0" w:oddVBand="0" w:evenVBand="0" w:oddHBand="0" w:evenHBand="0" w:firstRowFirstColumn="0" w:firstRowLastColumn="0" w:lastRowFirstColumn="0" w:lastRowLastColumn="0"/>
            <w:tcW w:w="0" w:type="auto"/>
            <w:noWrap/>
            <w:hideMark/>
          </w:tcPr>
          <w:p w14:paraId="67669FB2" w14:textId="77777777" w:rsidR="009B4C5C" w:rsidRPr="00764336" w:rsidRDefault="009B4C5C" w:rsidP="009B4C5C">
            <w:pPr>
              <w:ind w:firstLine="0"/>
              <w:rPr>
                <w:sz w:val="22"/>
              </w:rPr>
            </w:pPr>
            <w:r w:rsidRPr="00764336">
              <w:rPr>
                <w:sz w:val="22"/>
              </w:rPr>
              <w:t>Haut Conseil Breton pour le Climat</w:t>
            </w:r>
          </w:p>
        </w:tc>
        <w:tc>
          <w:tcPr>
            <w:tcW w:w="0" w:type="auto"/>
            <w:noWrap/>
            <w:hideMark/>
          </w:tcPr>
          <w:p w14:paraId="67095304"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Bretagne</w:t>
            </w:r>
          </w:p>
        </w:tc>
        <w:tc>
          <w:tcPr>
            <w:tcW w:w="0" w:type="auto"/>
            <w:noWrap/>
            <w:hideMark/>
          </w:tcPr>
          <w:p w14:paraId="6BC2BB1C" w14:textId="7A4058CD"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szCs w:val="18"/>
                <w:u w:val="single"/>
              </w:rPr>
            </w:pPr>
            <w:r w:rsidRPr="00764336">
              <w:rPr>
                <w:rStyle w:val="Lienhypertexte"/>
                <w:sz w:val="22"/>
                <w:szCs w:val="18"/>
              </w:rPr>
              <w:t>https://www.bretagne.bzh/le-haut-conseil-breton-pour-le-climat</w:t>
            </w:r>
          </w:p>
        </w:tc>
        <w:tc>
          <w:tcPr>
            <w:tcW w:w="0" w:type="auto"/>
            <w:noWrap/>
            <w:hideMark/>
          </w:tcPr>
          <w:p w14:paraId="28910846"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Aucun</w:t>
            </w:r>
          </w:p>
        </w:tc>
        <w:tc>
          <w:tcPr>
            <w:tcW w:w="0" w:type="auto"/>
            <w:noWrap/>
            <w:hideMark/>
          </w:tcPr>
          <w:p w14:paraId="5EF73CDF"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2021</w:t>
            </w:r>
          </w:p>
        </w:tc>
        <w:tc>
          <w:tcPr>
            <w:tcW w:w="0" w:type="auto"/>
            <w:hideMark/>
          </w:tcPr>
          <w:p w14:paraId="4DE70FE0" w14:textId="77777777" w:rsidR="009B4C5C" w:rsidRPr="00764336" w:rsidRDefault="009B4C5C" w:rsidP="009B4C5C">
            <w:pPr>
              <w:ind w:firstLine="0"/>
              <w:cnfStyle w:val="000000000000" w:firstRow="0" w:lastRow="0" w:firstColumn="0" w:lastColumn="0" w:oddVBand="0" w:evenVBand="0" w:oddHBand="0" w:evenHBand="0" w:firstRowFirstColumn="0" w:firstRowLastColumn="0" w:lastRowFirstColumn="0" w:lastRowLastColumn="0"/>
              <w:rPr>
                <w:sz w:val="22"/>
              </w:rPr>
            </w:pPr>
            <w:r w:rsidRPr="00764336">
              <w:rPr>
                <w:sz w:val="22"/>
              </w:rPr>
              <w:t>Région Bretagne</w:t>
            </w:r>
          </w:p>
        </w:tc>
      </w:tr>
    </w:tbl>
    <w:p w14:paraId="572CA4EE" w14:textId="7BA0CC3F" w:rsidR="00032054" w:rsidRDefault="00032054" w:rsidP="00032054">
      <w:pPr>
        <w:spacing w:before="0" w:after="200" w:line="276" w:lineRule="auto"/>
        <w:ind w:firstLine="0"/>
        <w:jc w:val="left"/>
      </w:pPr>
    </w:p>
    <w:p w14:paraId="62C87B1B" w14:textId="77777777" w:rsidR="00032054" w:rsidRDefault="00032054" w:rsidP="00032054">
      <w:pPr>
        <w:spacing w:before="0" w:after="200" w:line="276" w:lineRule="auto"/>
        <w:ind w:firstLine="0"/>
        <w:jc w:val="left"/>
      </w:pPr>
    </w:p>
    <w:p w14:paraId="5A6AD10D" w14:textId="5013F436" w:rsidR="00EF6C8D" w:rsidRPr="00EF08EF" w:rsidRDefault="00EF6C8D" w:rsidP="00F61836">
      <w:pPr>
        <w:pStyle w:val="Titregraphique"/>
      </w:pPr>
      <w:r w:rsidRPr="00F61836">
        <w:t>Rayonnement des Grec sur Internet</w:t>
      </w:r>
      <w:r w:rsidRPr="00401D53">
        <w:rPr>
          <w:noProof/>
        </w:rPr>
        <w:drawing>
          <wp:anchor distT="0" distB="0" distL="114300" distR="114300" simplePos="0" relativeHeight="251669504" behindDoc="0" locked="0" layoutInCell="1" allowOverlap="1" wp14:anchorId="6F6DA783" wp14:editId="13236401">
            <wp:simplePos x="0" y="0"/>
            <wp:positionH relativeFrom="margin">
              <wp:posOffset>902335</wp:posOffset>
            </wp:positionH>
            <wp:positionV relativeFrom="paragraph">
              <wp:posOffset>243840</wp:posOffset>
            </wp:positionV>
            <wp:extent cx="3579495" cy="3023870"/>
            <wp:effectExtent l="0" t="0" r="1905" b="5080"/>
            <wp:wrapTopAndBottom/>
            <wp:docPr id="21" name="Graphique 21">
              <a:extLst xmlns:a="http://schemas.openxmlformats.org/drawingml/2006/main">
                <a:ext uri="{FF2B5EF4-FFF2-40B4-BE49-F238E27FC236}">
                  <a16:creationId xmlns:a16="http://schemas.microsoft.com/office/drawing/2014/main" id="{04602D30-F6CB-404D-8D29-40344513AB3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page">
              <wp14:pctWidth>0</wp14:pctWidth>
            </wp14:sizeRelH>
            <wp14:sizeRelV relativeFrom="page">
              <wp14:pctHeight>0</wp14:pctHeight>
            </wp14:sizeRelV>
          </wp:anchor>
        </w:drawing>
      </w:r>
    </w:p>
    <w:p w14:paraId="4EE2D762" w14:textId="77777777" w:rsidR="00EF6C8D" w:rsidRDefault="00EF6C8D" w:rsidP="00EF6C8D">
      <w:pPr>
        <w:pStyle w:val="TexteSource"/>
      </w:pPr>
      <w:r>
        <w:t>Source : Cour des comptes à partir de l’outil Ubersuggest.</w:t>
      </w:r>
      <w:r w:rsidRPr="00C903A5">
        <w:t xml:space="preserve"> Le rayonnement du « GIEC des Pays de la Loire » n’a pas pu être mesur</w:t>
      </w:r>
      <w:r>
        <w:t>é car il ne dispose pas d’un site web.</w:t>
      </w:r>
    </w:p>
    <w:p w14:paraId="768E91D9" w14:textId="77777777" w:rsidR="00EF6C8D" w:rsidRDefault="00EF6C8D">
      <w:pPr>
        <w:spacing w:before="0" w:after="200" w:line="276" w:lineRule="auto"/>
        <w:ind w:firstLine="0"/>
        <w:jc w:val="left"/>
        <w:rPr>
          <w:rFonts w:eastAsiaTheme="majorEastAsia" w:cstheme="majorBidi"/>
          <w:b/>
          <w:bCs/>
          <w:sz w:val="30"/>
          <w:szCs w:val="28"/>
        </w:rPr>
      </w:pPr>
    </w:p>
    <w:p w14:paraId="21F57FBC" w14:textId="0C1A4616" w:rsidR="00800DB9" w:rsidRDefault="00F81B15" w:rsidP="000F2B93">
      <w:pPr>
        <w:pStyle w:val="Titre1"/>
        <w:jc w:val="center"/>
      </w:pPr>
      <w:bookmarkStart w:id="38" w:name="_Toc160528293"/>
      <w:r>
        <w:lastRenderedPageBreak/>
        <w:t>Suivi des solutions technologiques pour l’adaptation à travers les b</w:t>
      </w:r>
      <w:r w:rsidR="00424545">
        <w:t>revets</w:t>
      </w:r>
      <w:bookmarkEnd w:id="38"/>
    </w:p>
    <w:p w14:paraId="571CCB21" w14:textId="77777777" w:rsidR="00F81B15" w:rsidRPr="002F2263" w:rsidRDefault="00F81B15" w:rsidP="00F81B15">
      <w:pPr>
        <w:pStyle w:val="Titretableau"/>
        <w:spacing w:before="400"/>
      </w:pPr>
      <w:r>
        <w:t> Positionnement de la France en matière de brevets pour l’adaptation.</w:t>
      </w:r>
    </w:p>
    <w:tbl>
      <w:tblPr>
        <w:tblStyle w:val="TABLEAURAPPORTPUBLICANNUEL"/>
        <w:tblW w:w="0" w:type="auto"/>
        <w:tblInd w:w="-737" w:type="dxa"/>
        <w:tblLook w:val="04A0" w:firstRow="1" w:lastRow="0" w:firstColumn="1" w:lastColumn="0" w:noHBand="0" w:noVBand="1"/>
      </w:tblPr>
      <w:tblGrid>
        <w:gridCol w:w="2941"/>
        <w:gridCol w:w="1237"/>
        <w:gridCol w:w="1255"/>
        <w:gridCol w:w="986"/>
        <w:gridCol w:w="1247"/>
        <w:gridCol w:w="2131"/>
      </w:tblGrid>
      <w:tr w:rsidR="00F81B15" w14:paraId="37BF7271" w14:textId="77777777" w:rsidTr="00F618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A9982B" w14:textId="77777777" w:rsidR="00F81B15" w:rsidRDefault="00F81B15" w:rsidP="00494E25">
            <w:pPr>
              <w:pStyle w:val="TableauSchmaOrganigrammecentr"/>
            </w:pPr>
            <w:r>
              <w:t>Périmètre des brevets</w:t>
            </w:r>
          </w:p>
        </w:tc>
        <w:tc>
          <w:tcPr>
            <w:tcW w:w="0" w:type="auto"/>
          </w:tcPr>
          <w:p w14:paraId="333F61AB" w14:textId="77777777" w:rsidR="00F81B15" w:rsidRDefault="00F81B15" w:rsidP="00494E25">
            <w:pPr>
              <w:pStyle w:val="TableauSchmaOrganigrammecentr"/>
              <w:cnfStyle w:val="100000000000" w:firstRow="1" w:lastRow="0" w:firstColumn="0" w:lastColumn="0" w:oddVBand="0" w:evenVBand="0" w:oddHBand="0" w:evenHBand="0" w:firstRowFirstColumn="0" w:firstRowLastColumn="0" w:lastRowFirstColumn="0" w:lastRowLastColumn="0"/>
            </w:pPr>
            <w:r>
              <w:t>Nombre de brevets France</w:t>
            </w:r>
          </w:p>
        </w:tc>
        <w:tc>
          <w:tcPr>
            <w:tcW w:w="0" w:type="auto"/>
          </w:tcPr>
          <w:p w14:paraId="2192B1DE" w14:textId="77777777" w:rsidR="00F81B15" w:rsidRDefault="00F81B15" w:rsidP="00494E25">
            <w:pPr>
              <w:pStyle w:val="TableauSchmaOrganigrammecentr"/>
              <w:cnfStyle w:val="100000000000" w:firstRow="1" w:lastRow="0" w:firstColumn="0" w:lastColumn="0" w:oddVBand="0" w:evenVBand="0" w:oddHBand="0" w:evenHBand="0" w:firstRowFirstColumn="0" w:firstRowLastColumn="0" w:lastRowFirstColumn="0" w:lastRowLastColumn="0"/>
            </w:pPr>
            <w:r>
              <w:t>N</w:t>
            </w:r>
            <w:r w:rsidRPr="002C485F">
              <w:t>ombre</w:t>
            </w:r>
            <w:r>
              <w:t xml:space="preserve"> de brevets monde*</w:t>
            </w:r>
          </w:p>
        </w:tc>
        <w:tc>
          <w:tcPr>
            <w:tcW w:w="0" w:type="auto"/>
          </w:tcPr>
          <w:p w14:paraId="13BE55D6" w14:textId="77777777" w:rsidR="00F81B15" w:rsidRDefault="00F81B15" w:rsidP="00494E25">
            <w:pPr>
              <w:pStyle w:val="TableauSchmaOrganigrammecentr"/>
              <w:cnfStyle w:val="100000000000" w:firstRow="1" w:lastRow="0" w:firstColumn="0" w:lastColumn="0" w:oddVBand="0" w:evenVBand="0" w:oddHBand="0" w:evenHBand="0" w:firstRowFirstColumn="0" w:firstRowLastColumn="0" w:lastRowFirstColumn="0" w:lastRowLastColumn="0"/>
            </w:pPr>
            <w:r>
              <w:t>Part de la France</w:t>
            </w:r>
          </w:p>
        </w:tc>
        <w:tc>
          <w:tcPr>
            <w:tcW w:w="0" w:type="auto"/>
          </w:tcPr>
          <w:p w14:paraId="07EFB176" w14:textId="77777777" w:rsidR="00F81B15" w:rsidRDefault="00F81B15" w:rsidP="00494E25">
            <w:pPr>
              <w:pStyle w:val="TableauSchmaOrganigrammecentr"/>
              <w:cnfStyle w:val="100000000000" w:firstRow="1" w:lastRow="0" w:firstColumn="0" w:lastColumn="0" w:oddVBand="0" w:evenVBand="0" w:oddHBand="0" w:evenHBand="0" w:firstRowFirstColumn="0" w:firstRowLastColumn="0" w:lastRowFirstColumn="0" w:lastRowLastColumn="0"/>
            </w:pPr>
            <w:r>
              <w:t>Rang mondial de la France</w:t>
            </w:r>
          </w:p>
        </w:tc>
        <w:tc>
          <w:tcPr>
            <w:tcW w:w="0" w:type="auto"/>
          </w:tcPr>
          <w:p w14:paraId="1177B09F" w14:textId="77777777" w:rsidR="00F81B15" w:rsidRDefault="00F81B15" w:rsidP="00494E25">
            <w:pPr>
              <w:pStyle w:val="TableauSchmaOrganigrammecentr"/>
              <w:cnfStyle w:val="100000000000" w:firstRow="1" w:lastRow="0" w:firstColumn="0" w:lastColumn="0" w:oddVBand="0" w:evenVBand="0" w:oddHBand="0" w:evenHBand="0" w:firstRowFirstColumn="0" w:firstRowLastColumn="0" w:lastRowFirstColumn="0" w:lastRowLastColumn="0"/>
            </w:pPr>
            <w:r>
              <w:t>Trois premiers déposants dans le domaine de la recherche publique</w:t>
            </w:r>
          </w:p>
        </w:tc>
      </w:tr>
      <w:tr w:rsidR="00F81B15" w:rsidRPr="002C485F" w14:paraId="4A0BC6BA" w14:textId="77777777" w:rsidTr="00F61836">
        <w:tc>
          <w:tcPr>
            <w:cnfStyle w:val="001000000000" w:firstRow="0" w:lastRow="0" w:firstColumn="1" w:lastColumn="0" w:oddVBand="0" w:evenVBand="0" w:oddHBand="0" w:evenHBand="0" w:firstRowFirstColumn="0" w:firstRowLastColumn="0" w:lastRowFirstColumn="0" w:lastRowLastColumn="0"/>
            <w:tcW w:w="0" w:type="auto"/>
          </w:tcPr>
          <w:p w14:paraId="4696391C" w14:textId="77777777" w:rsidR="00F81B15" w:rsidRPr="002C485F" w:rsidRDefault="00F81B15" w:rsidP="00494E25">
            <w:pPr>
              <w:pStyle w:val="TableauSchmaOrganigrammecentr"/>
              <w:rPr>
                <w:lang w:val="en-US"/>
              </w:rPr>
            </w:pPr>
            <w:r>
              <w:t xml:space="preserve">Total adaptation (code Y02A) </w:t>
            </w:r>
          </w:p>
        </w:tc>
        <w:tc>
          <w:tcPr>
            <w:tcW w:w="0" w:type="auto"/>
          </w:tcPr>
          <w:p w14:paraId="0C19BBC5" w14:textId="77777777" w:rsidR="00F81B15" w:rsidRPr="002C485F"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rPr>
                <w:lang w:val="en-US"/>
              </w:rPr>
            </w:pPr>
            <w:r w:rsidRPr="00621BB1">
              <w:rPr>
                <w:lang w:val="en-US"/>
              </w:rPr>
              <w:t>21</w:t>
            </w:r>
            <w:r>
              <w:t> </w:t>
            </w:r>
            <w:r w:rsidRPr="00621BB1">
              <w:rPr>
                <w:lang w:val="en-US"/>
              </w:rPr>
              <w:t>398</w:t>
            </w:r>
          </w:p>
        </w:tc>
        <w:tc>
          <w:tcPr>
            <w:tcW w:w="0" w:type="auto"/>
          </w:tcPr>
          <w:p w14:paraId="52452AD0" w14:textId="77777777" w:rsidR="00F81B15" w:rsidRPr="002C485F"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rPr>
                <w:lang w:val="en-US"/>
              </w:rPr>
            </w:pPr>
            <w:r w:rsidRPr="00621BB1">
              <w:t>509 337</w:t>
            </w:r>
          </w:p>
        </w:tc>
        <w:tc>
          <w:tcPr>
            <w:tcW w:w="0" w:type="auto"/>
          </w:tcPr>
          <w:p w14:paraId="42885AE2" w14:textId="77777777" w:rsidR="00F81B15" w:rsidRPr="002C485F"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rPr>
                <w:lang w:val="en-US"/>
              </w:rPr>
            </w:pPr>
            <w:r>
              <w:t>4,2 %</w:t>
            </w:r>
          </w:p>
        </w:tc>
        <w:tc>
          <w:tcPr>
            <w:tcW w:w="0" w:type="auto"/>
          </w:tcPr>
          <w:p w14:paraId="04136A78"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6</w:t>
            </w:r>
            <w:r w:rsidRPr="007826CC">
              <w:rPr>
                <w:vertAlign w:val="superscript"/>
              </w:rPr>
              <w:t>e</w:t>
            </w:r>
          </w:p>
        </w:tc>
        <w:tc>
          <w:tcPr>
            <w:tcW w:w="0" w:type="auto"/>
          </w:tcPr>
          <w:p w14:paraId="77E83350"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CNRS</w:t>
            </w:r>
            <w:r>
              <w:br/>
              <w:t>Institut Pasteur</w:t>
            </w:r>
          </w:p>
          <w:p w14:paraId="22058D55"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INSERM</w:t>
            </w:r>
          </w:p>
        </w:tc>
      </w:tr>
      <w:tr w:rsidR="00F81B15" w:rsidRPr="00907BF8" w14:paraId="39182879" w14:textId="77777777" w:rsidTr="00F61836">
        <w:tc>
          <w:tcPr>
            <w:cnfStyle w:val="001000000000" w:firstRow="0" w:lastRow="0" w:firstColumn="1" w:lastColumn="0" w:oddVBand="0" w:evenVBand="0" w:oddHBand="0" w:evenHBand="0" w:firstRowFirstColumn="0" w:firstRowLastColumn="0" w:lastRowFirstColumn="0" w:lastRowLastColumn="0"/>
            <w:tcW w:w="0" w:type="auto"/>
          </w:tcPr>
          <w:p w14:paraId="40D3A709" w14:textId="77777777" w:rsidR="00F81B15" w:rsidRDefault="00F81B15" w:rsidP="00494E25">
            <w:pPr>
              <w:pStyle w:val="TableauSchmaOrganigrammecentr"/>
            </w:pPr>
            <w:r w:rsidRPr="00907BF8">
              <w:t xml:space="preserve">Total </w:t>
            </w:r>
            <w:r>
              <w:t>atténuation</w:t>
            </w:r>
            <w:r w:rsidRPr="00907BF8">
              <w:t xml:space="preserve"> (</w:t>
            </w:r>
            <w:r>
              <w:t xml:space="preserve">code </w:t>
            </w:r>
            <w:r w:rsidRPr="00907BF8">
              <w:t>Y02</w:t>
            </w:r>
            <w:r>
              <w:t xml:space="preserve">B ou </w:t>
            </w:r>
            <w:r w:rsidRPr="00907BF8">
              <w:t>Y02</w:t>
            </w:r>
            <w:r>
              <w:t>C ou Y02D ou Y02E ou Y02P ou Y02T ou Y02W</w:t>
            </w:r>
            <w:r w:rsidRPr="00907BF8">
              <w:t>)</w:t>
            </w:r>
          </w:p>
        </w:tc>
        <w:tc>
          <w:tcPr>
            <w:tcW w:w="0" w:type="auto"/>
          </w:tcPr>
          <w:p w14:paraId="12BBD977" w14:textId="77777777" w:rsidR="00F81B15" w:rsidRPr="00907BF8"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9000D6">
              <w:t>176</w:t>
            </w:r>
            <w:r>
              <w:t> </w:t>
            </w:r>
            <w:r w:rsidRPr="009000D6">
              <w:t>589</w:t>
            </w:r>
          </w:p>
        </w:tc>
        <w:tc>
          <w:tcPr>
            <w:tcW w:w="0" w:type="auto"/>
          </w:tcPr>
          <w:p w14:paraId="4B9271DD" w14:textId="77777777" w:rsidR="00F81B15" w:rsidRPr="00907BF8"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9000D6">
              <w:t>3 627 245</w:t>
            </w:r>
          </w:p>
        </w:tc>
        <w:tc>
          <w:tcPr>
            <w:tcW w:w="0" w:type="auto"/>
          </w:tcPr>
          <w:p w14:paraId="4C26F7A3" w14:textId="77777777" w:rsidR="00F81B15" w:rsidRPr="00907BF8"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4,9 %</w:t>
            </w:r>
          </w:p>
        </w:tc>
        <w:tc>
          <w:tcPr>
            <w:tcW w:w="0" w:type="auto"/>
          </w:tcPr>
          <w:p w14:paraId="0DF70594" w14:textId="77777777" w:rsidR="00F81B15" w:rsidRPr="009615FC"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6</w:t>
            </w:r>
            <w:r w:rsidRPr="007826CC">
              <w:rPr>
                <w:vertAlign w:val="superscript"/>
              </w:rPr>
              <w:t>e</w:t>
            </w:r>
          </w:p>
        </w:tc>
        <w:tc>
          <w:tcPr>
            <w:tcW w:w="0" w:type="auto"/>
          </w:tcPr>
          <w:p w14:paraId="589DBEAE" w14:textId="77777777" w:rsidR="00F81B15" w:rsidRPr="009615FC"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9615FC">
              <w:t>CEA</w:t>
            </w:r>
          </w:p>
          <w:p w14:paraId="36A8F0BA"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9615FC">
              <w:t>CNRS</w:t>
            </w:r>
          </w:p>
          <w:p w14:paraId="0A27EF68"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IFP</w:t>
            </w:r>
          </w:p>
        </w:tc>
      </w:tr>
      <w:tr w:rsidR="00F81B15" w:rsidRPr="002C485F" w14:paraId="7BAEC8A9" w14:textId="77777777" w:rsidTr="00F61836">
        <w:tc>
          <w:tcPr>
            <w:cnfStyle w:val="001000000000" w:firstRow="0" w:lastRow="0" w:firstColumn="1" w:lastColumn="0" w:oddVBand="0" w:evenVBand="0" w:oddHBand="0" w:evenHBand="0" w:firstRowFirstColumn="0" w:firstRowLastColumn="0" w:lastRowFirstColumn="0" w:lastRowLastColumn="0"/>
            <w:tcW w:w="0" w:type="auto"/>
          </w:tcPr>
          <w:p w14:paraId="6ED56C91" w14:textId="77777777" w:rsidR="00F81B15" w:rsidRPr="002C485F" w:rsidRDefault="00F81B15" w:rsidP="00494E25">
            <w:pPr>
              <w:pStyle w:val="TableauSchmaOrganigrammecentr"/>
            </w:pPr>
            <w:r>
              <w:t>Total adaptation et atténuation conjointement (code Y02A et au moins l’un des codes pour l’atténuation)</w:t>
            </w:r>
          </w:p>
        </w:tc>
        <w:tc>
          <w:tcPr>
            <w:tcW w:w="0" w:type="auto"/>
          </w:tcPr>
          <w:p w14:paraId="0CB2E2E0" w14:textId="77777777" w:rsidR="00F81B15" w:rsidRPr="002C485F"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065F19">
              <w:t>5</w:t>
            </w:r>
            <w:r>
              <w:t> </w:t>
            </w:r>
            <w:r w:rsidRPr="00065F19">
              <w:t>371</w:t>
            </w:r>
          </w:p>
        </w:tc>
        <w:tc>
          <w:tcPr>
            <w:tcW w:w="0" w:type="auto"/>
          </w:tcPr>
          <w:p w14:paraId="45B669F1" w14:textId="77777777" w:rsidR="00F81B15" w:rsidRPr="002C485F"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065F19">
              <w:t>98 782</w:t>
            </w:r>
          </w:p>
        </w:tc>
        <w:tc>
          <w:tcPr>
            <w:tcW w:w="0" w:type="auto"/>
          </w:tcPr>
          <w:p w14:paraId="020B0FBB" w14:textId="77777777" w:rsidR="00F81B15" w:rsidRPr="002C485F"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5,4 %</w:t>
            </w:r>
          </w:p>
        </w:tc>
        <w:tc>
          <w:tcPr>
            <w:tcW w:w="0" w:type="auto"/>
          </w:tcPr>
          <w:p w14:paraId="7D672FDA"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6</w:t>
            </w:r>
            <w:r w:rsidRPr="007826CC">
              <w:rPr>
                <w:vertAlign w:val="superscript"/>
              </w:rPr>
              <w:t>e</w:t>
            </w:r>
          </w:p>
        </w:tc>
        <w:tc>
          <w:tcPr>
            <w:tcW w:w="0" w:type="auto"/>
          </w:tcPr>
          <w:p w14:paraId="7AA3C3DE"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CEA</w:t>
            </w:r>
          </w:p>
          <w:p w14:paraId="779E0E5C"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CNRS</w:t>
            </w:r>
          </w:p>
          <w:p w14:paraId="0599E33A"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IFP</w:t>
            </w:r>
          </w:p>
        </w:tc>
      </w:tr>
      <w:tr w:rsidR="00F81B15" w:rsidRPr="002C485F" w14:paraId="6DB57A3B" w14:textId="77777777" w:rsidTr="00F61836">
        <w:tc>
          <w:tcPr>
            <w:cnfStyle w:val="001000000000" w:firstRow="0" w:lastRow="0" w:firstColumn="1" w:lastColumn="0" w:oddVBand="0" w:evenVBand="0" w:oddHBand="0" w:evenHBand="0" w:firstRowFirstColumn="0" w:firstRowLastColumn="0" w:lastRowFirstColumn="0" w:lastRowLastColumn="0"/>
            <w:tcW w:w="0" w:type="auto"/>
          </w:tcPr>
          <w:p w14:paraId="7B54FC1E" w14:textId="77777777" w:rsidR="00F81B15" w:rsidRPr="00783409" w:rsidRDefault="00F81B15" w:rsidP="00494E25">
            <w:pPr>
              <w:pStyle w:val="TableauSchmaOrganigrammecentr"/>
            </w:pPr>
            <w:r w:rsidRPr="00783409">
              <w:t>Total adaptation ou atténuation (code Y02)</w:t>
            </w:r>
          </w:p>
        </w:tc>
        <w:tc>
          <w:tcPr>
            <w:tcW w:w="0" w:type="auto"/>
          </w:tcPr>
          <w:p w14:paraId="06590D81" w14:textId="77777777" w:rsidR="00F81B15" w:rsidRPr="00783409"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783409">
              <w:t>192 616</w:t>
            </w:r>
          </w:p>
        </w:tc>
        <w:tc>
          <w:tcPr>
            <w:tcW w:w="0" w:type="auto"/>
          </w:tcPr>
          <w:p w14:paraId="2167B20E" w14:textId="77777777" w:rsidR="00F81B15" w:rsidRPr="00783409"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783409">
              <w:t>4 037 800</w:t>
            </w:r>
          </w:p>
        </w:tc>
        <w:tc>
          <w:tcPr>
            <w:tcW w:w="0" w:type="auto"/>
          </w:tcPr>
          <w:p w14:paraId="222692A9" w14:textId="77777777" w:rsidR="00F81B15" w:rsidRPr="00783409"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4,8</w:t>
            </w:r>
            <w:r w:rsidRPr="00783409">
              <w:t xml:space="preserve"> %</w:t>
            </w:r>
          </w:p>
        </w:tc>
        <w:tc>
          <w:tcPr>
            <w:tcW w:w="0" w:type="auto"/>
          </w:tcPr>
          <w:p w14:paraId="3CD5337D" w14:textId="77777777" w:rsidR="00F81B15" w:rsidRPr="009615FC"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t>6</w:t>
            </w:r>
            <w:r w:rsidRPr="007826CC">
              <w:rPr>
                <w:vertAlign w:val="superscript"/>
              </w:rPr>
              <w:t>e</w:t>
            </w:r>
          </w:p>
        </w:tc>
        <w:tc>
          <w:tcPr>
            <w:tcW w:w="0" w:type="auto"/>
          </w:tcPr>
          <w:p w14:paraId="5A2510EF" w14:textId="77777777" w:rsidR="00F81B15" w:rsidRPr="009615FC"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9615FC">
              <w:t>CEA</w:t>
            </w:r>
          </w:p>
          <w:p w14:paraId="5B078873" w14:textId="77777777" w:rsidR="00F81B15" w:rsidRPr="009615FC"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9615FC">
              <w:t>CNRS</w:t>
            </w:r>
          </w:p>
          <w:p w14:paraId="4B0A85A2" w14:textId="77777777" w:rsidR="00F81B15" w:rsidRDefault="00F81B15"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9615FC">
              <w:t>IFP</w:t>
            </w:r>
          </w:p>
        </w:tc>
      </w:tr>
    </w:tbl>
    <w:p w14:paraId="1C72EFE0" w14:textId="77777777" w:rsidR="00976CDC" w:rsidRPr="00976CDC" w:rsidRDefault="00F81B15" w:rsidP="00976CDC">
      <w:pPr>
        <w:pStyle w:val="TexteSource"/>
      </w:pPr>
      <w:r>
        <w:t xml:space="preserve">Source : synthèse Cour des comptes d’après </w:t>
      </w:r>
      <w:hyperlink r:id="rId49" w:history="1">
        <w:r w:rsidRPr="003A0A0D">
          <w:rPr>
            <w:rStyle w:val="Lienhypertexte"/>
          </w:rPr>
          <w:t>https://worldwide.espacenet.com/patent/search</w:t>
        </w:r>
      </w:hyperlink>
      <w:r>
        <w:t xml:space="preserve"> consulté en juin 2023. Nombre total de brevets pour lesquels un pays est précisé pour le demandeur. </w:t>
      </w:r>
      <w:r w:rsidR="00976CDC" w:rsidRPr="00976CDC">
        <w:t>Dans le domaine du climat, les principaux opérateurs de recherche déposants sont le CEA, le CNRS ainsi que l’institut français du pétrole (IFP). Dans le cas spécifique de l’adaptation, c’est le CNRS, l’Institut Pasteur et l’Inserm qui déposent le plus de brevets. Si la prépondérance de la santé peut ici étonner en regard des faiblesses scientifiques rapportées précédemment sur les interactions entre santé et climat (I), elle s’explique par le fait que les brevets retracent des innovations médicamenteuses, par exemple contre les infections et les parasites qui sont amenés à se développer sous l’effet de l’évolution du climat. Il ne s’agit donc pas d’approches « englobantes » de la santé telles que la santé publique, domaine qui est plus particulièrement concerné par les enjeux d’adaptation pour éclairer les politiques publiques en matière de santé des populations dans un contexte de climat changeant qui risque notamment d’induire une progression de la malnutrition, une propagation plus importante des maladies infectieuses ainsi qu’une charge accrue sur le système de santé</w:t>
      </w:r>
      <w:r w:rsidR="00976CDC" w:rsidRPr="00976CDC">
        <w:rPr>
          <w:vertAlign w:val="superscript"/>
        </w:rPr>
        <w:footnoteReference w:id="31"/>
      </w:r>
      <w:r w:rsidR="00976CDC" w:rsidRPr="00976CDC">
        <w:t>.</w:t>
      </w:r>
    </w:p>
    <w:p w14:paraId="41CA61AB" w14:textId="77777777" w:rsidR="00032054" w:rsidRDefault="00032054">
      <w:pPr>
        <w:spacing w:before="0" w:after="200" w:line="276" w:lineRule="auto"/>
        <w:ind w:firstLine="0"/>
        <w:jc w:val="left"/>
        <w:rPr>
          <w:rFonts w:eastAsiaTheme="majorEastAsia" w:cstheme="majorBidi"/>
          <w:b/>
          <w:bCs/>
          <w:sz w:val="30"/>
          <w:szCs w:val="28"/>
        </w:rPr>
      </w:pPr>
      <w:r>
        <w:br w:type="page"/>
      </w:r>
    </w:p>
    <w:p w14:paraId="7D1D1B27" w14:textId="69D354D1" w:rsidR="00424545" w:rsidRDefault="00424545" w:rsidP="000F2B93">
      <w:pPr>
        <w:pStyle w:val="Titre1"/>
        <w:jc w:val="center"/>
      </w:pPr>
      <w:bookmarkStart w:id="39" w:name="_Toc160528294"/>
      <w:r>
        <w:lastRenderedPageBreak/>
        <w:t>Services climatiques</w:t>
      </w:r>
      <w:bookmarkEnd w:id="39"/>
    </w:p>
    <w:p w14:paraId="26C579C0" w14:textId="18935DE8" w:rsidR="00676FD8" w:rsidRPr="00676FD8" w:rsidRDefault="00676FD8" w:rsidP="00F61836">
      <w:pPr>
        <w:pStyle w:val="Titretableau"/>
      </w:pPr>
      <w:r w:rsidRPr="00676FD8">
        <w:t xml:space="preserve">Liste des services climatiques identifiés en lien avec l’enquête. </w:t>
      </w:r>
    </w:p>
    <w:tbl>
      <w:tblPr>
        <w:tblStyle w:val="Grilledutableau"/>
        <w:tblW w:w="0" w:type="auto"/>
        <w:tblInd w:w="110" w:type="dxa"/>
        <w:tblLayout w:type="fixed"/>
        <w:tblLook w:val="04A0" w:firstRow="1" w:lastRow="0" w:firstColumn="1" w:lastColumn="0" w:noHBand="0" w:noVBand="1"/>
      </w:tblPr>
      <w:tblGrid>
        <w:gridCol w:w="1515"/>
        <w:gridCol w:w="1344"/>
        <w:gridCol w:w="889"/>
        <w:gridCol w:w="965"/>
        <w:gridCol w:w="767"/>
        <w:gridCol w:w="1162"/>
        <w:gridCol w:w="1327"/>
        <w:gridCol w:w="975"/>
      </w:tblGrid>
      <w:tr w:rsidR="00A1305C" w:rsidRPr="00764336" w14:paraId="023E733A" w14:textId="77777777" w:rsidTr="000E329F">
        <w:trPr>
          <w:cnfStyle w:val="100000000000" w:firstRow="1" w:lastRow="0" w:firstColumn="0" w:lastColumn="0" w:oddVBand="0" w:evenVBand="0" w:oddHBand="0" w:evenHBand="0" w:firstRowFirstColumn="0" w:firstRowLastColumn="0" w:lastRowFirstColumn="0" w:lastRowLastColumn="0"/>
          <w:trHeight w:val="27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35A9FBC1" w14:textId="77777777" w:rsidR="00676FD8" w:rsidRPr="00764336" w:rsidRDefault="00676FD8" w:rsidP="00676FD8">
            <w:pPr>
              <w:spacing w:before="0" w:after="0"/>
              <w:ind w:firstLine="0"/>
              <w:rPr>
                <w:rFonts w:asciiTheme="majorHAnsi" w:hAnsiTheme="majorHAnsi" w:cstheme="majorHAnsi"/>
                <w:bCs/>
                <w:sz w:val="20"/>
                <w:szCs w:val="20"/>
              </w:rPr>
            </w:pPr>
            <w:r w:rsidRPr="00764336">
              <w:rPr>
                <w:rFonts w:asciiTheme="majorHAnsi" w:hAnsiTheme="majorHAnsi" w:cstheme="majorHAnsi"/>
                <w:bCs/>
                <w:sz w:val="20"/>
                <w:szCs w:val="20"/>
              </w:rPr>
              <w:t>Nom du service</w:t>
            </w:r>
          </w:p>
        </w:tc>
        <w:tc>
          <w:tcPr>
            <w:tcW w:w="1344" w:type="dxa"/>
            <w:noWrap/>
            <w:hideMark/>
          </w:tcPr>
          <w:p w14:paraId="552BF002" w14:textId="77777777"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Cs/>
                <w:sz w:val="20"/>
                <w:szCs w:val="20"/>
              </w:rPr>
            </w:pPr>
            <w:r w:rsidRPr="00764336">
              <w:rPr>
                <w:rFonts w:asciiTheme="majorHAnsi" w:hAnsiTheme="majorHAnsi" w:cstheme="majorHAnsi"/>
                <w:bCs/>
                <w:sz w:val="20"/>
                <w:szCs w:val="20"/>
              </w:rPr>
              <w:t>Description</w:t>
            </w:r>
          </w:p>
        </w:tc>
        <w:tc>
          <w:tcPr>
            <w:tcW w:w="889" w:type="dxa"/>
            <w:hideMark/>
          </w:tcPr>
          <w:p w14:paraId="4114B7AB" w14:textId="77777777"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Cs/>
                <w:sz w:val="20"/>
                <w:szCs w:val="20"/>
              </w:rPr>
            </w:pPr>
            <w:r w:rsidRPr="00764336">
              <w:rPr>
                <w:rFonts w:asciiTheme="majorHAnsi" w:hAnsiTheme="majorHAnsi" w:cstheme="majorHAnsi"/>
                <w:bCs/>
                <w:sz w:val="20"/>
                <w:szCs w:val="20"/>
              </w:rPr>
              <w:t>Année de mise en service</w:t>
            </w:r>
          </w:p>
        </w:tc>
        <w:tc>
          <w:tcPr>
            <w:tcW w:w="965" w:type="dxa"/>
            <w:noWrap/>
            <w:hideMark/>
          </w:tcPr>
          <w:p w14:paraId="52D6F6FB" w14:textId="77777777"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Cs/>
                <w:sz w:val="20"/>
                <w:szCs w:val="20"/>
              </w:rPr>
            </w:pPr>
            <w:r w:rsidRPr="00764336">
              <w:rPr>
                <w:rFonts w:asciiTheme="majorHAnsi" w:hAnsiTheme="majorHAnsi" w:cstheme="majorHAnsi"/>
                <w:bCs/>
                <w:sz w:val="20"/>
                <w:szCs w:val="20"/>
              </w:rPr>
              <w:t>Secteur</w:t>
            </w:r>
          </w:p>
        </w:tc>
        <w:tc>
          <w:tcPr>
            <w:tcW w:w="767" w:type="dxa"/>
            <w:noWrap/>
            <w:hideMark/>
          </w:tcPr>
          <w:p w14:paraId="1BCDEF8D" w14:textId="77777777"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Cs/>
                <w:sz w:val="20"/>
                <w:szCs w:val="20"/>
              </w:rPr>
            </w:pPr>
            <w:r w:rsidRPr="00764336">
              <w:rPr>
                <w:rFonts w:asciiTheme="majorHAnsi" w:hAnsiTheme="majorHAnsi" w:cstheme="majorHAnsi"/>
                <w:bCs/>
                <w:sz w:val="20"/>
                <w:szCs w:val="20"/>
              </w:rPr>
              <w:t>Public ciblé</w:t>
            </w:r>
          </w:p>
        </w:tc>
        <w:tc>
          <w:tcPr>
            <w:tcW w:w="1162" w:type="dxa"/>
            <w:hideMark/>
          </w:tcPr>
          <w:p w14:paraId="466BAB12" w14:textId="77777777"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Cs/>
                <w:sz w:val="20"/>
                <w:szCs w:val="20"/>
              </w:rPr>
            </w:pPr>
            <w:r w:rsidRPr="00764336">
              <w:rPr>
                <w:rFonts w:asciiTheme="majorHAnsi" w:hAnsiTheme="majorHAnsi" w:cstheme="majorHAnsi"/>
                <w:bCs/>
                <w:sz w:val="20"/>
                <w:szCs w:val="20"/>
              </w:rPr>
              <w:t>Principales structures françaises impliquées en lien avec le périmètre de l'enquête</w:t>
            </w:r>
          </w:p>
        </w:tc>
        <w:tc>
          <w:tcPr>
            <w:tcW w:w="1327" w:type="dxa"/>
            <w:hideMark/>
          </w:tcPr>
          <w:p w14:paraId="2D3253C3" w14:textId="498A87E1"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sz w:val="20"/>
                <w:szCs w:val="20"/>
              </w:rPr>
            </w:pPr>
            <w:r w:rsidRPr="00764336">
              <w:rPr>
                <w:rFonts w:asciiTheme="majorHAnsi" w:hAnsiTheme="majorHAnsi" w:cstheme="majorHAnsi"/>
                <w:bCs/>
                <w:sz w:val="20"/>
                <w:szCs w:val="20"/>
              </w:rPr>
              <w:t xml:space="preserve">Financements </w:t>
            </w:r>
            <w:r w:rsidR="001C1832" w:rsidRPr="00764336">
              <w:rPr>
                <w:rFonts w:asciiTheme="majorHAnsi" w:hAnsiTheme="majorHAnsi" w:cstheme="majorHAnsi"/>
                <w:bCs/>
                <w:sz w:val="20"/>
                <w:szCs w:val="20"/>
              </w:rPr>
              <w:t>européens</w:t>
            </w:r>
            <w:r w:rsidRPr="00764336">
              <w:rPr>
                <w:rFonts w:asciiTheme="majorHAnsi" w:hAnsiTheme="majorHAnsi" w:cstheme="majorHAnsi"/>
                <w:bCs/>
                <w:sz w:val="20"/>
                <w:szCs w:val="20"/>
              </w:rPr>
              <w:t xml:space="preserve"> identifiés ?</w:t>
            </w:r>
          </w:p>
          <w:p w14:paraId="2B8EA9E2" w14:textId="3D38200C"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Cs/>
                <w:sz w:val="20"/>
                <w:szCs w:val="20"/>
              </w:rPr>
            </w:pPr>
          </w:p>
        </w:tc>
        <w:tc>
          <w:tcPr>
            <w:tcW w:w="975" w:type="dxa"/>
            <w:hideMark/>
          </w:tcPr>
          <w:p w14:paraId="1B17FC80" w14:textId="77777777" w:rsidR="00676FD8" w:rsidRPr="00764336" w:rsidRDefault="00676FD8" w:rsidP="00676FD8">
            <w:pPr>
              <w:spacing w:before="0" w:after="0"/>
              <w:ind w:firstLine="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Cs/>
                <w:sz w:val="20"/>
                <w:szCs w:val="20"/>
              </w:rPr>
            </w:pPr>
            <w:r w:rsidRPr="00764336">
              <w:rPr>
                <w:rFonts w:asciiTheme="majorHAnsi" w:hAnsiTheme="majorHAnsi" w:cstheme="majorHAnsi"/>
                <w:bCs/>
                <w:sz w:val="20"/>
                <w:szCs w:val="20"/>
              </w:rPr>
              <w:t>Nombre de domaines référents</w:t>
            </w:r>
          </w:p>
        </w:tc>
      </w:tr>
      <w:tr w:rsidR="00A1305C" w:rsidRPr="00764336" w14:paraId="48E96A33" w14:textId="77777777" w:rsidTr="000E329F">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30D71871"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Copernicus</w:t>
            </w:r>
          </w:p>
        </w:tc>
        <w:tc>
          <w:tcPr>
            <w:tcW w:w="1344" w:type="dxa"/>
            <w:noWrap/>
            <w:hideMark/>
          </w:tcPr>
          <w:p w14:paraId="46D16C8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européen de données climatiques</w:t>
            </w:r>
          </w:p>
        </w:tc>
        <w:tc>
          <w:tcPr>
            <w:tcW w:w="889" w:type="dxa"/>
            <w:hideMark/>
          </w:tcPr>
          <w:p w14:paraId="133909E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0E3EA55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14599EB9"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764336">
              <w:rPr>
                <w:rFonts w:asciiTheme="majorHAnsi" w:hAnsiTheme="majorHAnsi" w:cstheme="majorHAnsi"/>
                <w:sz w:val="20"/>
                <w:szCs w:val="20"/>
                <w:lang w:val="en-US"/>
              </w:rPr>
              <w:t>be; ap; ct; ae; ens; part</w:t>
            </w:r>
          </w:p>
        </w:tc>
        <w:tc>
          <w:tcPr>
            <w:tcW w:w="1162" w:type="dxa"/>
            <w:hideMark/>
          </w:tcPr>
          <w:p w14:paraId="4D2AE7D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Commission européenne ; IPSL</w:t>
            </w:r>
          </w:p>
        </w:tc>
        <w:tc>
          <w:tcPr>
            <w:tcW w:w="1327" w:type="dxa"/>
            <w:hideMark/>
          </w:tcPr>
          <w:p w14:paraId="020BF0C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(Commission)</w:t>
            </w:r>
          </w:p>
        </w:tc>
        <w:tc>
          <w:tcPr>
            <w:tcW w:w="975" w:type="dxa"/>
            <w:noWrap/>
            <w:hideMark/>
          </w:tcPr>
          <w:p w14:paraId="1F20D07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2746</w:t>
            </w:r>
          </w:p>
        </w:tc>
      </w:tr>
      <w:tr w:rsidR="00A1305C" w:rsidRPr="00764336" w14:paraId="6704B2B8" w14:textId="77777777" w:rsidTr="000E329F">
        <w:trPr>
          <w:trHeight w:val="9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3D9C0DA1"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Drias Climat</w:t>
            </w:r>
          </w:p>
        </w:tc>
        <w:tc>
          <w:tcPr>
            <w:tcW w:w="1344" w:type="dxa"/>
            <w:noWrap/>
            <w:hideMark/>
          </w:tcPr>
          <w:p w14:paraId="26C3B0EE"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français de données climatiques</w:t>
            </w:r>
          </w:p>
        </w:tc>
        <w:tc>
          <w:tcPr>
            <w:tcW w:w="889" w:type="dxa"/>
            <w:hideMark/>
          </w:tcPr>
          <w:p w14:paraId="67C02153"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2012</w:t>
            </w:r>
          </w:p>
        </w:tc>
        <w:tc>
          <w:tcPr>
            <w:tcW w:w="965" w:type="dxa"/>
            <w:noWrap/>
            <w:hideMark/>
          </w:tcPr>
          <w:p w14:paraId="50CB55C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23A5967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764336">
              <w:rPr>
                <w:rFonts w:asciiTheme="majorHAnsi" w:hAnsiTheme="majorHAnsi" w:cstheme="majorHAnsi"/>
                <w:sz w:val="20"/>
                <w:szCs w:val="20"/>
                <w:lang w:val="en-US"/>
              </w:rPr>
              <w:t>be; ap; ct; ae; ens; part</w:t>
            </w:r>
          </w:p>
        </w:tc>
        <w:tc>
          <w:tcPr>
            <w:tcW w:w="1162" w:type="dxa"/>
            <w:hideMark/>
          </w:tcPr>
          <w:p w14:paraId="228A4CC4"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IPSL ; CERFACS ; CNRM</w:t>
            </w:r>
          </w:p>
        </w:tc>
        <w:tc>
          <w:tcPr>
            <w:tcW w:w="1327" w:type="dxa"/>
            <w:hideMark/>
          </w:tcPr>
          <w:p w14:paraId="2EAFC68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285F31C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1130</w:t>
            </w:r>
          </w:p>
        </w:tc>
      </w:tr>
      <w:tr w:rsidR="00A1305C" w:rsidRPr="00764336" w14:paraId="5752DA6D" w14:textId="77777777" w:rsidTr="000E329F">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3A49357B"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Isimip</w:t>
            </w:r>
          </w:p>
        </w:tc>
        <w:tc>
          <w:tcPr>
            <w:tcW w:w="1344" w:type="dxa"/>
            <w:noWrap/>
            <w:hideMark/>
          </w:tcPr>
          <w:p w14:paraId="2595741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de modèles d'impacts intersectoriels</w:t>
            </w:r>
          </w:p>
        </w:tc>
        <w:tc>
          <w:tcPr>
            <w:tcW w:w="889" w:type="dxa"/>
            <w:noWrap/>
            <w:hideMark/>
          </w:tcPr>
          <w:p w14:paraId="4515285B"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2012</w:t>
            </w:r>
          </w:p>
        </w:tc>
        <w:tc>
          <w:tcPr>
            <w:tcW w:w="965" w:type="dxa"/>
            <w:noWrap/>
            <w:hideMark/>
          </w:tcPr>
          <w:p w14:paraId="57BA014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15D0C37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hideMark/>
          </w:tcPr>
          <w:p w14:paraId="04E658B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IPSL</w:t>
            </w:r>
          </w:p>
        </w:tc>
        <w:tc>
          <w:tcPr>
            <w:tcW w:w="1327" w:type="dxa"/>
            <w:noWrap/>
            <w:hideMark/>
          </w:tcPr>
          <w:p w14:paraId="13E5FA5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 pour le projet Isipedia dérivé d'Isimip)</w:t>
            </w:r>
          </w:p>
        </w:tc>
        <w:tc>
          <w:tcPr>
            <w:tcW w:w="975" w:type="dxa"/>
            <w:noWrap/>
            <w:hideMark/>
          </w:tcPr>
          <w:p w14:paraId="78C276C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311</w:t>
            </w:r>
          </w:p>
        </w:tc>
      </w:tr>
      <w:tr w:rsidR="00A1305C" w:rsidRPr="00764336" w14:paraId="052B22BD" w14:textId="77777777" w:rsidTr="000E329F">
        <w:trPr>
          <w:trHeight w:val="2700"/>
        </w:trPr>
        <w:tc>
          <w:tcPr>
            <w:cnfStyle w:val="001000000000" w:firstRow="0" w:lastRow="0" w:firstColumn="1" w:lastColumn="0" w:oddVBand="0" w:evenVBand="0" w:oddHBand="0" w:evenHBand="0" w:firstRowFirstColumn="0" w:firstRowLastColumn="0" w:lastRowFirstColumn="0" w:lastRowLastColumn="0"/>
            <w:tcW w:w="1515" w:type="dxa"/>
            <w:hideMark/>
          </w:tcPr>
          <w:p w14:paraId="20925B72"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Centre de ressources pour l'adaptation au changement climatique</w:t>
            </w:r>
          </w:p>
        </w:tc>
        <w:tc>
          <w:tcPr>
            <w:tcW w:w="1344" w:type="dxa"/>
            <w:hideMark/>
          </w:tcPr>
          <w:p w14:paraId="29CAE1B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français de documentation des outils, projets et acteurs de l'adaptation</w:t>
            </w:r>
          </w:p>
        </w:tc>
        <w:tc>
          <w:tcPr>
            <w:tcW w:w="889" w:type="dxa"/>
            <w:hideMark/>
          </w:tcPr>
          <w:p w14:paraId="5C9F929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70C69D9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0E99812E"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764336">
              <w:rPr>
                <w:rFonts w:asciiTheme="majorHAnsi" w:hAnsiTheme="majorHAnsi" w:cstheme="majorHAnsi"/>
                <w:sz w:val="20"/>
                <w:szCs w:val="20"/>
                <w:lang w:val="en-US"/>
              </w:rPr>
              <w:t>be; ap; ct; ae; ens; part</w:t>
            </w:r>
          </w:p>
        </w:tc>
        <w:tc>
          <w:tcPr>
            <w:tcW w:w="1162" w:type="dxa"/>
            <w:hideMark/>
          </w:tcPr>
          <w:p w14:paraId="31FD7FFA"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764336">
              <w:rPr>
                <w:rFonts w:asciiTheme="majorHAnsi" w:hAnsiTheme="majorHAnsi" w:cstheme="majorHAnsi"/>
                <w:sz w:val="20"/>
                <w:szCs w:val="20"/>
                <w:lang w:val="en-US"/>
              </w:rPr>
              <w:t>ONERC, CEREMA, ADEME, Météo-France</w:t>
            </w:r>
          </w:p>
        </w:tc>
        <w:tc>
          <w:tcPr>
            <w:tcW w:w="1327" w:type="dxa"/>
            <w:hideMark/>
          </w:tcPr>
          <w:p w14:paraId="6523717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p>
        </w:tc>
        <w:tc>
          <w:tcPr>
            <w:tcW w:w="975" w:type="dxa"/>
            <w:noWrap/>
            <w:hideMark/>
          </w:tcPr>
          <w:p w14:paraId="1BC58FD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109</w:t>
            </w:r>
          </w:p>
        </w:tc>
      </w:tr>
      <w:tr w:rsidR="00A1305C" w:rsidRPr="00764336" w14:paraId="6E2102F5" w14:textId="77777777" w:rsidTr="000E329F">
        <w:trPr>
          <w:cnfStyle w:val="000000100000" w:firstRow="0" w:lastRow="0" w:firstColumn="0" w:lastColumn="0" w:oddVBand="0" w:evenVBand="0" w:oddHBand="1" w:evenHBand="0" w:firstRowFirstColumn="0" w:firstRowLastColumn="0" w:lastRowFirstColumn="0" w:lastRowLastColumn="0"/>
          <w:trHeight w:val="18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62E07005"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Medscope</w:t>
            </w:r>
          </w:p>
        </w:tc>
        <w:tc>
          <w:tcPr>
            <w:tcW w:w="1344" w:type="dxa"/>
            <w:hideMark/>
          </w:tcPr>
          <w:p w14:paraId="573654F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Modèles climatiques sur le bassin méditerranéen</w:t>
            </w:r>
          </w:p>
        </w:tc>
        <w:tc>
          <w:tcPr>
            <w:tcW w:w="889" w:type="dxa"/>
            <w:noWrap/>
            <w:hideMark/>
          </w:tcPr>
          <w:p w14:paraId="2BB5DF4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2021</w:t>
            </w:r>
          </w:p>
        </w:tc>
        <w:tc>
          <w:tcPr>
            <w:tcW w:w="965" w:type="dxa"/>
            <w:noWrap/>
            <w:hideMark/>
          </w:tcPr>
          <w:p w14:paraId="7B433A7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5D28119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hideMark/>
          </w:tcPr>
          <w:p w14:paraId="6536FC8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Météo-France ; INRAE</w:t>
            </w:r>
          </w:p>
        </w:tc>
        <w:tc>
          <w:tcPr>
            <w:tcW w:w="1327" w:type="dxa"/>
            <w:noWrap/>
            <w:hideMark/>
          </w:tcPr>
          <w:p w14:paraId="0983D0B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20EAE35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75</w:t>
            </w:r>
          </w:p>
        </w:tc>
      </w:tr>
      <w:tr w:rsidR="00A1305C" w:rsidRPr="00764336" w14:paraId="69E86E34" w14:textId="77777777" w:rsidTr="000E329F">
        <w:trPr>
          <w:trHeight w:val="39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037B563C"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Climat HD</w:t>
            </w:r>
          </w:p>
        </w:tc>
        <w:tc>
          <w:tcPr>
            <w:tcW w:w="1344" w:type="dxa"/>
            <w:hideMark/>
          </w:tcPr>
          <w:p w14:paraId="2DA7FE8F" w14:textId="07F714B3"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Application web de sensibilisation. Di</w:t>
            </w:r>
            <w:r w:rsidR="001C1832">
              <w:rPr>
                <w:rFonts w:asciiTheme="majorHAnsi" w:hAnsiTheme="majorHAnsi" w:cstheme="majorHAnsi"/>
                <w:sz w:val="20"/>
                <w:szCs w:val="20"/>
              </w:rPr>
              <w:t>a</w:t>
            </w:r>
            <w:r w:rsidRPr="00764336">
              <w:rPr>
                <w:rFonts w:asciiTheme="majorHAnsi" w:hAnsiTheme="majorHAnsi" w:cstheme="majorHAnsi"/>
                <w:sz w:val="20"/>
                <w:szCs w:val="20"/>
              </w:rPr>
              <w:t>gnostic de changement climatique passé et futur à l'échelle régionale</w:t>
            </w:r>
          </w:p>
        </w:tc>
        <w:tc>
          <w:tcPr>
            <w:tcW w:w="889" w:type="dxa"/>
            <w:hideMark/>
          </w:tcPr>
          <w:p w14:paraId="6DAC7A8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2015</w:t>
            </w:r>
          </w:p>
        </w:tc>
        <w:tc>
          <w:tcPr>
            <w:tcW w:w="965" w:type="dxa"/>
            <w:noWrap/>
            <w:hideMark/>
          </w:tcPr>
          <w:p w14:paraId="0CE58156"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5B9F701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lang w:val="en-US"/>
              </w:rPr>
            </w:pPr>
            <w:r w:rsidRPr="00764336">
              <w:rPr>
                <w:rFonts w:asciiTheme="majorHAnsi" w:hAnsiTheme="majorHAnsi" w:cstheme="majorHAnsi"/>
                <w:sz w:val="20"/>
                <w:szCs w:val="20"/>
                <w:lang w:val="en-US"/>
              </w:rPr>
              <w:t>be; ap; ct; ae; ens; part</w:t>
            </w:r>
          </w:p>
        </w:tc>
        <w:tc>
          <w:tcPr>
            <w:tcW w:w="1162" w:type="dxa"/>
            <w:hideMark/>
          </w:tcPr>
          <w:p w14:paraId="0E9D31BA"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Météo-France</w:t>
            </w:r>
          </w:p>
        </w:tc>
        <w:tc>
          <w:tcPr>
            <w:tcW w:w="1327" w:type="dxa"/>
            <w:noWrap/>
            <w:hideMark/>
          </w:tcPr>
          <w:p w14:paraId="3F89659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150B347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66</w:t>
            </w:r>
          </w:p>
        </w:tc>
      </w:tr>
      <w:tr w:rsidR="00A1305C" w:rsidRPr="00764336" w14:paraId="6AA58411" w14:textId="77777777" w:rsidTr="000E329F">
        <w:trPr>
          <w:cnfStyle w:val="000000100000" w:firstRow="0" w:lastRow="0" w:firstColumn="0" w:lastColumn="0" w:oddVBand="0" w:evenVBand="0" w:oddHBand="1" w:evenHBand="0" w:firstRowFirstColumn="0" w:firstRowLastColumn="0" w:lastRowFirstColumn="0" w:lastRowLastColumn="0"/>
          <w:trHeight w:val="48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14D8AAD8"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Aforce</w:t>
            </w:r>
          </w:p>
        </w:tc>
        <w:tc>
          <w:tcPr>
            <w:tcW w:w="1344" w:type="dxa"/>
            <w:hideMark/>
          </w:tcPr>
          <w:p w14:paraId="571ECDC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Réseau mixte technologique qui a pour objectif d'accompagner les forestiers dans l'adaptation des forêts aux changements climatiques</w:t>
            </w:r>
          </w:p>
        </w:tc>
        <w:tc>
          <w:tcPr>
            <w:tcW w:w="889" w:type="dxa"/>
            <w:hideMark/>
          </w:tcPr>
          <w:p w14:paraId="0882B4DA"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2008</w:t>
            </w:r>
          </w:p>
        </w:tc>
        <w:tc>
          <w:tcPr>
            <w:tcW w:w="965" w:type="dxa"/>
            <w:noWrap/>
            <w:hideMark/>
          </w:tcPr>
          <w:p w14:paraId="1960BEB4"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2F80B90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ap; ct</w:t>
            </w:r>
          </w:p>
        </w:tc>
        <w:tc>
          <w:tcPr>
            <w:tcW w:w="1162" w:type="dxa"/>
            <w:hideMark/>
          </w:tcPr>
          <w:p w14:paraId="784675B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Opérateurs de recherche français dans le secteur forrestier</w:t>
            </w:r>
          </w:p>
        </w:tc>
        <w:tc>
          <w:tcPr>
            <w:tcW w:w="1327" w:type="dxa"/>
            <w:hideMark/>
          </w:tcPr>
          <w:p w14:paraId="421ECE37"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32D9DAA4"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64</w:t>
            </w:r>
          </w:p>
        </w:tc>
      </w:tr>
      <w:tr w:rsidR="00A1305C" w:rsidRPr="00764336" w14:paraId="1136577C" w14:textId="77777777" w:rsidTr="000E329F">
        <w:trPr>
          <w:trHeight w:val="30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6AC86CBF"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Climadiag commune</w:t>
            </w:r>
          </w:p>
        </w:tc>
        <w:tc>
          <w:tcPr>
            <w:tcW w:w="1344" w:type="dxa"/>
            <w:hideMark/>
          </w:tcPr>
          <w:p w14:paraId="2600BCC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Indicateurs thématiques sur la base des projections DRIAS 2020 à destination des communes</w:t>
            </w:r>
          </w:p>
        </w:tc>
        <w:tc>
          <w:tcPr>
            <w:tcW w:w="889" w:type="dxa"/>
            <w:hideMark/>
          </w:tcPr>
          <w:p w14:paraId="0C3C706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2022</w:t>
            </w:r>
          </w:p>
        </w:tc>
        <w:tc>
          <w:tcPr>
            <w:tcW w:w="965" w:type="dxa"/>
            <w:hideMark/>
          </w:tcPr>
          <w:p w14:paraId="05AFBA3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hideMark/>
          </w:tcPr>
          <w:p w14:paraId="4187915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hideMark/>
          </w:tcPr>
          <w:p w14:paraId="08DEB94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Météo-France</w:t>
            </w:r>
          </w:p>
        </w:tc>
        <w:tc>
          <w:tcPr>
            <w:tcW w:w="1327" w:type="dxa"/>
            <w:noWrap/>
            <w:hideMark/>
          </w:tcPr>
          <w:p w14:paraId="6375AA8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341B2A66"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58</w:t>
            </w:r>
          </w:p>
        </w:tc>
      </w:tr>
      <w:tr w:rsidR="00A1305C" w:rsidRPr="00764336" w14:paraId="5C890107" w14:textId="77777777" w:rsidTr="000E329F">
        <w:trPr>
          <w:cnfStyle w:val="000000100000" w:firstRow="0" w:lastRow="0" w:firstColumn="0" w:lastColumn="0" w:oddVBand="0" w:evenVBand="0" w:oddHBand="1" w:evenHBand="0" w:firstRowFirstColumn="0" w:firstRowLastColumn="0" w:lastRowFirstColumn="0" w:lastRowLastColumn="0"/>
          <w:trHeight w:val="27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6CC6EE03"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ClimSnow</w:t>
            </w:r>
          </w:p>
        </w:tc>
        <w:tc>
          <w:tcPr>
            <w:tcW w:w="1344" w:type="dxa"/>
            <w:hideMark/>
          </w:tcPr>
          <w:p w14:paraId="26A5CB3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Prédictions fines de l'évolution de l'enneigement et services opérationnels associés</w:t>
            </w:r>
          </w:p>
        </w:tc>
        <w:tc>
          <w:tcPr>
            <w:tcW w:w="889" w:type="dxa"/>
            <w:hideMark/>
          </w:tcPr>
          <w:p w14:paraId="7503F95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2021</w:t>
            </w:r>
          </w:p>
        </w:tc>
        <w:tc>
          <w:tcPr>
            <w:tcW w:w="965" w:type="dxa"/>
            <w:noWrap/>
            <w:hideMark/>
          </w:tcPr>
          <w:p w14:paraId="3481948A"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tour</w:t>
            </w:r>
          </w:p>
        </w:tc>
        <w:tc>
          <w:tcPr>
            <w:tcW w:w="767" w:type="dxa"/>
            <w:noWrap/>
            <w:hideMark/>
          </w:tcPr>
          <w:p w14:paraId="6A2C377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ae ; ct</w:t>
            </w:r>
          </w:p>
        </w:tc>
        <w:tc>
          <w:tcPr>
            <w:tcW w:w="1162" w:type="dxa"/>
            <w:hideMark/>
          </w:tcPr>
          <w:p w14:paraId="3D57C49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 France</w:t>
            </w:r>
          </w:p>
        </w:tc>
        <w:tc>
          <w:tcPr>
            <w:tcW w:w="1327" w:type="dxa"/>
            <w:hideMark/>
          </w:tcPr>
          <w:p w14:paraId="6B1CB255"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(projet européen ProSnow dans le cadre d'Horizon 2020)</w:t>
            </w:r>
          </w:p>
        </w:tc>
        <w:tc>
          <w:tcPr>
            <w:tcW w:w="975" w:type="dxa"/>
            <w:noWrap/>
            <w:hideMark/>
          </w:tcPr>
          <w:p w14:paraId="46F267E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47</w:t>
            </w:r>
          </w:p>
        </w:tc>
      </w:tr>
      <w:tr w:rsidR="00A1305C" w:rsidRPr="00764336" w14:paraId="6E3EE8E3" w14:textId="77777777" w:rsidTr="000E329F">
        <w:trPr>
          <w:trHeight w:val="42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0EF949E7"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Alpages sentinelles</w:t>
            </w:r>
          </w:p>
        </w:tc>
        <w:tc>
          <w:tcPr>
            <w:tcW w:w="1344" w:type="dxa"/>
            <w:hideMark/>
          </w:tcPr>
          <w:p w14:paraId="0C94ED0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Réseau d'éleveurs et de scientifiques qui collaborent pour créer un dispositif de diagnostic de vulnérabilité</w:t>
            </w:r>
          </w:p>
        </w:tc>
        <w:tc>
          <w:tcPr>
            <w:tcW w:w="889" w:type="dxa"/>
            <w:hideMark/>
          </w:tcPr>
          <w:p w14:paraId="1E655E2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2018</w:t>
            </w:r>
          </w:p>
        </w:tc>
        <w:tc>
          <w:tcPr>
            <w:tcW w:w="965" w:type="dxa"/>
            <w:noWrap/>
            <w:hideMark/>
          </w:tcPr>
          <w:p w14:paraId="31D9F0C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10F80B9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ae; ap; ct; be</w:t>
            </w:r>
          </w:p>
        </w:tc>
        <w:tc>
          <w:tcPr>
            <w:tcW w:w="1162" w:type="dxa"/>
            <w:hideMark/>
          </w:tcPr>
          <w:p w14:paraId="16E18A4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INRAE</w:t>
            </w:r>
          </w:p>
        </w:tc>
        <w:tc>
          <w:tcPr>
            <w:tcW w:w="1327" w:type="dxa"/>
            <w:noWrap/>
            <w:hideMark/>
          </w:tcPr>
          <w:p w14:paraId="6581B6C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3C4CED7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42</w:t>
            </w:r>
          </w:p>
        </w:tc>
      </w:tr>
      <w:tr w:rsidR="00A1305C" w:rsidRPr="00764336" w14:paraId="4956A2E3" w14:textId="77777777" w:rsidTr="000E329F">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7E793390"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Datasuds</w:t>
            </w:r>
          </w:p>
        </w:tc>
        <w:tc>
          <w:tcPr>
            <w:tcW w:w="1344" w:type="dxa"/>
            <w:hideMark/>
          </w:tcPr>
          <w:p w14:paraId="0ABC191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de données sur le climat de pays du Sud</w:t>
            </w:r>
          </w:p>
        </w:tc>
        <w:tc>
          <w:tcPr>
            <w:tcW w:w="889" w:type="dxa"/>
            <w:hideMark/>
          </w:tcPr>
          <w:p w14:paraId="76883EE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2019</w:t>
            </w:r>
          </w:p>
        </w:tc>
        <w:tc>
          <w:tcPr>
            <w:tcW w:w="965" w:type="dxa"/>
            <w:noWrap/>
            <w:hideMark/>
          </w:tcPr>
          <w:p w14:paraId="63E148BA"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54B005A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764336">
              <w:rPr>
                <w:rFonts w:asciiTheme="majorHAnsi" w:hAnsiTheme="majorHAnsi" w:cstheme="majorHAnsi"/>
                <w:sz w:val="20"/>
                <w:szCs w:val="20"/>
                <w:lang w:val="en-US"/>
              </w:rPr>
              <w:t>be; ap; ct; ae; ens; part</w:t>
            </w:r>
          </w:p>
        </w:tc>
        <w:tc>
          <w:tcPr>
            <w:tcW w:w="1162" w:type="dxa"/>
            <w:hideMark/>
          </w:tcPr>
          <w:p w14:paraId="7FD68C3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IRD</w:t>
            </w:r>
          </w:p>
        </w:tc>
        <w:tc>
          <w:tcPr>
            <w:tcW w:w="1327" w:type="dxa"/>
            <w:noWrap/>
            <w:hideMark/>
          </w:tcPr>
          <w:p w14:paraId="64CE4065"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57894CD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39</w:t>
            </w:r>
          </w:p>
        </w:tc>
      </w:tr>
      <w:tr w:rsidR="00A1305C" w:rsidRPr="00764336" w14:paraId="1D43EA2D" w14:textId="77777777" w:rsidTr="000E329F">
        <w:trPr>
          <w:trHeight w:val="42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1BB3A7D2"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Aqui_fr</w:t>
            </w:r>
          </w:p>
        </w:tc>
        <w:tc>
          <w:tcPr>
            <w:tcW w:w="1344" w:type="dxa"/>
            <w:hideMark/>
          </w:tcPr>
          <w:p w14:paraId="5639F67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Outil de modélisation des ressources en eau souterraines en temps réel, capable d'effectueur des prévisions saisonnières</w:t>
            </w:r>
          </w:p>
        </w:tc>
        <w:tc>
          <w:tcPr>
            <w:tcW w:w="889" w:type="dxa"/>
            <w:hideMark/>
          </w:tcPr>
          <w:p w14:paraId="0361D88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2018</w:t>
            </w:r>
          </w:p>
        </w:tc>
        <w:tc>
          <w:tcPr>
            <w:tcW w:w="965" w:type="dxa"/>
            <w:noWrap/>
            <w:hideMark/>
          </w:tcPr>
          <w:p w14:paraId="5BBC133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eau</w:t>
            </w:r>
          </w:p>
        </w:tc>
        <w:tc>
          <w:tcPr>
            <w:tcW w:w="767" w:type="dxa"/>
            <w:noWrap/>
            <w:hideMark/>
          </w:tcPr>
          <w:p w14:paraId="59395DC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ap</w:t>
            </w:r>
          </w:p>
        </w:tc>
        <w:tc>
          <w:tcPr>
            <w:tcW w:w="1162" w:type="dxa"/>
            <w:hideMark/>
          </w:tcPr>
          <w:p w14:paraId="08D045E3"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 France; BRGM; CNRS</w:t>
            </w:r>
          </w:p>
        </w:tc>
        <w:tc>
          <w:tcPr>
            <w:tcW w:w="1327" w:type="dxa"/>
            <w:hideMark/>
          </w:tcPr>
          <w:p w14:paraId="3915C2B9"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12DC01F6"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38</w:t>
            </w:r>
          </w:p>
        </w:tc>
      </w:tr>
      <w:tr w:rsidR="00A1305C" w:rsidRPr="00764336" w14:paraId="6DDE6D9C" w14:textId="77777777" w:rsidTr="000E329F">
        <w:trPr>
          <w:cnfStyle w:val="000000100000" w:firstRow="0" w:lastRow="0" w:firstColumn="0" w:lastColumn="0" w:oddVBand="0" w:evenVBand="0" w:oddHBand="1" w:evenHBand="0" w:firstRowFirstColumn="0" w:firstRowLastColumn="0" w:lastRowFirstColumn="0" w:lastRowLastColumn="0"/>
          <w:trHeight w:val="48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17B6F7A"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CoCliMe</w:t>
            </w:r>
          </w:p>
        </w:tc>
        <w:tc>
          <w:tcPr>
            <w:tcW w:w="1344" w:type="dxa"/>
            <w:hideMark/>
          </w:tcPr>
          <w:p w14:paraId="07707ED4"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Evaluation des effets du changement climatique sur les écosystèmes marins et les conséquence sur l'alimentation et la santé humaine</w:t>
            </w:r>
          </w:p>
        </w:tc>
        <w:tc>
          <w:tcPr>
            <w:tcW w:w="889" w:type="dxa"/>
            <w:hideMark/>
          </w:tcPr>
          <w:p w14:paraId="7BB22AF5"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2018</w:t>
            </w:r>
          </w:p>
        </w:tc>
        <w:tc>
          <w:tcPr>
            <w:tcW w:w="965" w:type="dxa"/>
            <w:noWrap/>
            <w:hideMark/>
          </w:tcPr>
          <w:p w14:paraId="7D26F78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peche</w:t>
            </w:r>
          </w:p>
        </w:tc>
        <w:tc>
          <w:tcPr>
            <w:tcW w:w="767" w:type="dxa"/>
            <w:noWrap/>
            <w:hideMark/>
          </w:tcPr>
          <w:p w14:paraId="5AF411C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noWrap/>
            <w:hideMark/>
          </w:tcPr>
          <w:p w14:paraId="605AB74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IFREMER</w:t>
            </w:r>
          </w:p>
        </w:tc>
        <w:tc>
          <w:tcPr>
            <w:tcW w:w="1327" w:type="dxa"/>
            <w:noWrap/>
            <w:hideMark/>
          </w:tcPr>
          <w:p w14:paraId="1335797B"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05822BF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35</w:t>
            </w:r>
          </w:p>
        </w:tc>
      </w:tr>
      <w:tr w:rsidR="00A1305C" w:rsidRPr="00764336" w14:paraId="7B6E9E2E" w14:textId="77777777" w:rsidTr="000E329F">
        <w:trPr>
          <w:trHeight w:val="30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091FFEAC"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Aquaclew</w:t>
            </w:r>
          </w:p>
        </w:tc>
        <w:tc>
          <w:tcPr>
            <w:tcW w:w="1344" w:type="dxa"/>
            <w:hideMark/>
          </w:tcPr>
          <w:p w14:paraId="2B79CFD9"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Projet d'amélioration de la mise à disposition des données sur le climat et l'eau</w:t>
            </w:r>
          </w:p>
        </w:tc>
        <w:tc>
          <w:tcPr>
            <w:tcW w:w="889" w:type="dxa"/>
            <w:hideMark/>
          </w:tcPr>
          <w:p w14:paraId="33FE93D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487A967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eau</w:t>
            </w:r>
          </w:p>
        </w:tc>
        <w:tc>
          <w:tcPr>
            <w:tcW w:w="767" w:type="dxa"/>
            <w:noWrap/>
            <w:hideMark/>
          </w:tcPr>
          <w:p w14:paraId="21EB3AA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noWrap/>
            <w:hideMark/>
          </w:tcPr>
          <w:p w14:paraId="583525C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INRAE</w:t>
            </w:r>
          </w:p>
        </w:tc>
        <w:tc>
          <w:tcPr>
            <w:tcW w:w="1327" w:type="dxa"/>
            <w:noWrap/>
            <w:hideMark/>
          </w:tcPr>
          <w:p w14:paraId="09F8183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0DC5E1A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31</w:t>
            </w:r>
          </w:p>
        </w:tc>
      </w:tr>
      <w:tr w:rsidR="00A1305C" w:rsidRPr="00764336" w14:paraId="6C2BA236" w14:textId="77777777" w:rsidTr="000E329F">
        <w:trPr>
          <w:cnfStyle w:val="000000100000" w:firstRow="0" w:lastRow="0" w:firstColumn="0" w:lastColumn="0" w:oddVBand="0" w:evenVBand="0" w:oddHBand="1" w:evenHBand="0" w:firstRowFirstColumn="0" w:firstRowLastColumn="0" w:lastRowFirstColumn="0" w:lastRowLastColumn="0"/>
          <w:trHeight w:val="33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DB734BC"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Trajectories</w:t>
            </w:r>
          </w:p>
        </w:tc>
        <w:tc>
          <w:tcPr>
            <w:tcW w:w="1344" w:type="dxa"/>
            <w:hideMark/>
          </w:tcPr>
          <w:p w14:paraId="586EEB09"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Projet de recherche visant à construire des outils pour l'adaptation de 3 territoires alpins pilote</w:t>
            </w:r>
          </w:p>
        </w:tc>
        <w:tc>
          <w:tcPr>
            <w:tcW w:w="889" w:type="dxa"/>
            <w:hideMark/>
          </w:tcPr>
          <w:p w14:paraId="3230300B"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2019</w:t>
            </w:r>
          </w:p>
        </w:tc>
        <w:tc>
          <w:tcPr>
            <w:tcW w:w="965" w:type="dxa"/>
            <w:noWrap/>
            <w:hideMark/>
          </w:tcPr>
          <w:p w14:paraId="7DAFE8B7"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607FA2B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ae; be; ap</w:t>
            </w:r>
          </w:p>
        </w:tc>
        <w:tc>
          <w:tcPr>
            <w:tcW w:w="1162" w:type="dxa"/>
            <w:hideMark/>
          </w:tcPr>
          <w:p w14:paraId="1B918E5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Univerisité Grenoble Alpes</w:t>
            </w:r>
          </w:p>
        </w:tc>
        <w:tc>
          <w:tcPr>
            <w:tcW w:w="1327" w:type="dxa"/>
            <w:hideMark/>
          </w:tcPr>
          <w:p w14:paraId="3A0F376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74CCB43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28</w:t>
            </w:r>
          </w:p>
        </w:tc>
      </w:tr>
      <w:tr w:rsidR="00A1305C" w:rsidRPr="00764336" w14:paraId="48432CAE" w14:textId="77777777" w:rsidTr="000E329F">
        <w:trPr>
          <w:trHeight w:val="12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60FADCD7"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ESPRI</w:t>
            </w:r>
          </w:p>
        </w:tc>
        <w:tc>
          <w:tcPr>
            <w:tcW w:w="1344" w:type="dxa"/>
            <w:hideMark/>
          </w:tcPr>
          <w:p w14:paraId="12F6FB4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Base de données climatologiques</w:t>
            </w:r>
          </w:p>
        </w:tc>
        <w:tc>
          <w:tcPr>
            <w:tcW w:w="889" w:type="dxa"/>
            <w:hideMark/>
          </w:tcPr>
          <w:p w14:paraId="42E4B5D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5B1FFA0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74C7B5FB"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w:t>
            </w:r>
          </w:p>
        </w:tc>
        <w:tc>
          <w:tcPr>
            <w:tcW w:w="1162" w:type="dxa"/>
            <w:hideMark/>
          </w:tcPr>
          <w:p w14:paraId="2C9D5D6A"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IPSL</w:t>
            </w:r>
          </w:p>
        </w:tc>
        <w:tc>
          <w:tcPr>
            <w:tcW w:w="1327" w:type="dxa"/>
            <w:hideMark/>
          </w:tcPr>
          <w:p w14:paraId="2C156F7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4D621EC4"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26</w:t>
            </w:r>
          </w:p>
        </w:tc>
      </w:tr>
      <w:tr w:rsidR="00A1305C" w:rsidRPr="00764336" w14:paraId="77CD3D4A" w14:textId="77777777" w:rsidTr="000E329F">
        <w:trPr>
          <w:cnfStyle w:val="000000100000" w:firstRow="0" w:lastRow="0" w:firstColumn="0" w:lastColumn="0" w:oddVBand="0" w:evenVBand="0" w:oddHBand="1" w:evenHBand="0" w:firstRowFirstColumn="0" w:firstRowLastColumn="0" w:lastRowFirstColumn="0" w:lastRowLastColumn="0"/>
          <w:trHeight w:val="1200"/>
        </w:trPr>
        <w:tc>
          <w:tcPr>
            <w:cnfStyle w:val="001000000000" w:firstRow="0" w:lastRow="0" w:firstColumn="1" w:lastColumn="0" w:oddVBand="0" w:evenVBand="0" w:oddHBand="0" w:evenHBand="0" w:firstRowFirstColumn="0" w:firstRowLastColumn="0" w:lastRowFirstColumn="0" w:lastRowLastColumn="0"/>
            <w:tcW w:w="1515" w:type="dxa"/>
            <w:noWrap/>
          </w:tcPr>
          <w:p w14:paraId="6E36C256" w14:textId="29D6BC5E"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Drias Eau</w:t>
            </w:r>
          </w:p>
        </w:tc>
        <w:tc>
          <w:tcPr>
            <w:tcW w:w="1344" w:type="dxa"/>
          </w:tcPr>
          <w:p w14:paraId="45CA5068" w14:textId="2E0520F1"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Mise à disposition des projections climatiques régionalisées réalisées par les laboratoires français de modélisation de l'eau</w:t>
            </w:r>
          </w:p>
        </w:tc>
        <w:tc>
          <w:tcPr>
            <w:tcW w:w="889" w:type="dxa"/>
          </w:tcPr>
          <w:p w14:paraId="7D7B86A9" w14:textId="15CD7946"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2023</w:t>
            </w:r>
          </w:p>
        </w:tc>
        <w:tc>
          <w:tcPr>
            <w:tcW w:w="965" w:type="dxa"/>
            <w:noWrap/>
          </w:tcPr>
          <w:p w14:paraId="06E9FC48" w14:textId="06B21CFE"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eau</w:t>
            </w:r>
          </w:p>
        </w:tc>
        <w:tc>
          <w:tcPr>
            <w:tcW w:w="767" w:type="dxa"/>
            <w:noWrap/>
          </w:tcPr>
          <w:p w14:paraId="5980056F" w14:textId="7A0EF65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lang w:val="en-US"/>
              </w:rPr>
            </w:pPr>
            <w:r w:rsidRPr="00764336">
              <w:rPr>
                <w:rFonts w:asciiTheme="majorHAnsi" w:hAnsiTheme="majorHAnsi" w:cstheme="majorHAnsi"/>
                <w:sz w:val="20"/>
                <w:szCs w:val="20"/>
                <w:lang w:val="en-US"/>
              </w:rPr>
              <w:t>be; ap; ct; ae; ens; part</w:t>
            </w:r>
          </w:p>
        </w:tc>
        <w:tc>
          <w:tcPr>
            <w:tcW w:w="1162" w:type="dxa"/>
          </w:tcPr>
          <w:p w14:paraId="1F5D64C5" w14:textId="2B0D5F0B"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INRAE ; Météo-France</w:t>
            </w:r>
          </w:p>
        </w:tc>
        <w:tc>
          <w:tcPr>
            <w:tcW w:w="1327" w:type="dxa"/>
          </w:tcPr>
          <w:p w14:paraId="5CEF8D31" w14:textId="170A62FE"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tcPr>
          <w:p w14:paraId="6D087068" w14:textId="3166F163"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21</w:t>
            </w:r>
          </w:p>
        </w:tc>
      </w:tr>
      <w:tr w:rsidR="00A1305C" w:rsidRPr="00764336" w14:paraId="46269CDA" w14:textId="77777777" w:rsidTr="000E329F">
        <w:trPr>
          <w:trHeight w:val="12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63F80EBE"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Publithèque Météo</w:t>
            </w:r>
          </w:p>
        </w:tc>
        <w:tc>
          <w:tcPr>
            <w:tcW w:w="1344" w:type="dxa"/>
            <w:hideMark/>
          </w:tcPr>
          <w:p w14:paraId="3E5A77E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de données climatologiques</w:t>
            </w:r>
          </w:p>
        </w:tc>
        <w:tc>
          <w:tcPr>
            <w:tcW w:w="889" w:type="dxa"/>
            <w:hideMark/>
          </w:tcPr>
          <w:p w14:paraId="2D682F6B"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10EFE8A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5EBDEF4A"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hideMark/>
          </w:tcPr>
          <w:p w14:paraId="3791DDC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 France</w:t>
            </w:r>
          </w:p>
        </w:tc>
        <w:tc>
          <w:tcPr>
            <w:tcW w:w="1327" w:type="dxa"/>
            <w:hideMark/>
          </w:tcPr>
          <w:p w14:paraId="71F6B4D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2085C01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w:t>
            </w:r>
          </w:p>
        </w:tc>
      </w:tr>
      <w:tr w:rsidR="00A1305C" w:rsidRPr="00764336" w14:paraId="71E6145C" w14:textId="77777777" w:rsidTr="000E329F">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25C2C03"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SERV_FORFIRE</w:t>
            </w:r>
          </w:p>
        </w:tc>
        <w:tc>
          <w:tcPr>
            <w:tcW w:w="1344" w:type="dxa"/>
            <w:hideMark/>
          </w:tcPr>
          <w:p w14:paraId="3511609B"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Système de prévision et d'alertes sur les feux de forêts</w:t>
            </w:r>
          </w:p>
        </w:tc>
        <w:tc>
          <w:tcPr>
            <w:tcW w:w="889" w:type="dxa"/>
            <w:hideMark/>
          </w:tcPr>
          <w:p w14:paraId="71BB3B3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2018</w:t>
            </w:r>
          </w:p>
        </w:tc>
        <w:tc>
          <w:tcPr>
            <w:tcW w:w="965" w:type="dxa"/>
            <w:noWrap/>
            <w:hideMark/>
          </w:tcPr>
          <w:p w14:paraId="36DA986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7B15538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 ct</w:t>
            </w:r>
          </w:p>
        </w:tc>
        <w:tc>
          <w:tcPr>
            <w:tcW w:w="1162" w:type="dxa"/>
            <w:noWrap/>
            <w:hideMark/>
          </w:tcPr>
          <w:p w14:paraId="7C332189"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BRGM</w:t>
            </w:r>
          </w:p>
        </w:tc>
        <w:tc>
          <w:tcPr>
            <w:tcW w:w="1327" w:type="dxa"/>
            <w:noWrap/>
            <w:hideMark/>
          </w:tcPr>
          <w:p w14:paraId="509A7264"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50233647"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18</w:t>
            </w:r>
          </w:p>
        </w:tc>
      </w:tr>
      <w:tr w:rsidR="00A1305C" w:rsidRPr="00764336" w14:paraId="3CBDD564" w14:textId="77777777" w:rsidTr="000E329F">
        <w:trPr>
          <w:trHeight w:val="42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22A81412"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CoCliServ</w:t>
            </w:r>
          </w:p>
        </w:tc>
        <w:tc>
          <w:tcPr>
            <w:tcW w:w="1344" w:type="dxa"/>
            <w:hideMark/>
          </w:tcPr>
          <w:p w14:paraId="2516B9C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Développement d'un service climatique directement ancré dans les communautés locales, en partant des besoins de connaissance locaux</w:t>
            </w:r>
          </w:p>
        </w:tc>
        <w:tc>
          <w:tcPr>
            <w:tcW w:w="889" w:type="dxa"/>
            <w:hideMark/>
          </w:tcPr>
          <w:p w14:paraId="12E3DB0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2018</w:t>
            </w:r>
          </w:p>
        </w:tc>
        <w:tc>
          <w:tcPr>
            <w:tcW w:w="965" w:type="dxa"/>
            <w:noWrap/>
            <w:hideMark/>
          </w:tcPr>
          <w:p w14:paraId="4A57785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18B04353"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ct; ap</w:t>
            </w:r>
          </w:p>
        </w:tc>
        <w:tc>
          <w:tcPr>
            <w:tcW w:w="1162" w:type="dxa"/>
            <w:hideMark/>
          </w:tcPr>
          <w:p w14:paraId="3D1396F4"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Université de Versailles Saint Quentin ; Université Paris-Saclay$</w:t>
            </w:r>
          </w:p>
        </w:tc>
        <w:tc>
          <w:tcPr>
            <w:tcW w:w="1327" w:type="dxa"/>
            <w:noWrap/>
            <w:hideMark/>
          </w:tcPr>
          <w:p w14:paraId="3392D34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22C00CF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15</w:t>
            </w:r>
          </w:p>
        </w:tc>
      </w:tr>
      <w:tr w:rsidR="00A1305C" w:rsidRPr="00764336" w14:paraId="28D2A482" w14:textId="77777777" w:rsidTr="000E329F">
        <w:trPr>
          <w:cnfStyle w:val="000000100000" w:firstRow="0" w:lastRow="0" w:firstColumn="0" w:lastColumn="0" w:oddVBand="0" w:evenVBand="0" w:oddHBand="1" w:evenHBand="0" w:firstRowFirstColumn="0" w:firstRowLastColumn="0" w:lastRowFirstColumn="0" w:lastRowLastColumn="0"/>
          <w:trHeight w:val="2115"/>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9B0349E"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Faveur</w:t>
            </w:r>
          </w:p>
        </w:tc>
        <w:tc>
          <w:tcPr>
            <w:tcW w:w="1344" w:type="dxa"/>
            <w:hideMark/>
          </w:tcPr>
          <w:p w14:paraId="57DF82B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Calcul des performances hydriques d'une toiture végétalisée</w:t>
            </w:r>
          </w:p>
        </w:tc>
        <w:tc>
          <w:tcPr>
            <w:tcW w:w="889" w:type="dxa"/>
            <w:hideMark/>
          </w:tcPr>
          <w:p w14:paraId="4E06408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2017</w:t>
            </w:r>
          </w:p>
        </w:tc>
        <w:tc>
          <w:tcPr>
            <w:tcW w:w="965" w:type="dxa"/>
            <w:noWrap/>
            <w:hideMark/>
          </w:tcPr>
          <w:p w14:paraId="60E70B4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bat</w:t>
            </w:r>
          </w:p>
        </w:tc>
        <w:tc>
          <w:tcPr>
            <w:tcW w:w="767" w:type="dxa"/>
            <w:noWrap/>
            <w:hideMark/>
          </w:tcPr>
          <w:p w14:paraId="1AA7B8F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part; ae; ct</w:t>
            </w:r>
          </w:p>
        </w:tc>
        <w:tc>
          <w:tcPr>
            <w:tcW w:w="1162" w:type="dxa"/>
            <w:noWrap/>
            <w:hideMark/>
          </w:tcPr>
          <w:p w14:paraId="2F70D63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Leesu</w:t>
            </w:r>
          </w:p>
        </w:tc>
        <w:tc>
          <w:tcPr>
            <w:tcW w:w="1327" w:type="dxa"/>
            <w:noWrap/>
            <w:hideMark/>
          </w:tcPr>
          <w:p w14:paraId="16D6018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2B06395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9</w:t>
            </w:r>
          </w:p>
        </w:tc>
      </w:tr>
      <w:tr w:rsidR="00A1305C" w:rsidRPr="00764336" w14:paraId="2AB301A9" w14:textId="77777777" w:rsidTr="000E329F">
        <w:trPr>
          <w:trHeight w:val="27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33FDEA44"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Portal</w:t>
            </w:r>
          </w:p>
        </w:tc>
        <w:tc>
          <w:tcPr>
            <w:tcW w:w="1344" w:type="dxa"/>
            <w:hideMark/>
          </w:tcPr>
          <w:p w14:paraId="2F1100C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de références de projets de solutions fondées sur la nature dans les Alpes</w:t>
            </w:r>
          </w:p>
        </w:tc>
        <w:tc>
          <w:tcPr>
            <w:tcW w:w="889" w:type="dxa"/>
            <w:hideMark/>
          </w:tcPr>
          <w:p w14:paraId="5200142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6812E27B"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3787643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ae; ap; ct; be</w:t>
            </w:r>
          </w:p>
        </w:tc>
        <w:tc>
          <w:tcPr>
            <w:tcW w:w="1162" w:type="dxa"/>
            <w:hideMark/>
          </w:tcPr>
          <w:p w14:paraId="601D9D6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OSUG; CNRS</w:t>
            </w:r>
          </w:p>
        </w:tc>
        <w:tc>
          <w:tcPr>
            <w:tcW w:w="1327" w:type="dxa"/>
            <w:noWrap/>
            <w:hideMark/>
          </w:tcPr>
          <w:p w14:paraId="6B2B599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79180CE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9</w:t>
            </w:r>
          </w:p>
        </w:tc>
      </w:tr>
      <w:tr w:rsidR="00A1305C" w:rsidRPr="00764336" w14:paraId="410732A9" w14:textId="77777777" w:rsidTr="000E329F">
        <w:trPr>
          <w:cnfStyle w:val="000000100000" w:firstRow="0" w:lastRow="0" w:firstColumn="0" w:lastColumn="0" w:oddVBand="0" w:evenVBand="0" w:oddHBand="1" w:evenHBand="0" w:firstRowFirstColumn="0" w:firstRowLastColumn="0" w:lastRowFirstColumn="0" w:lastRowLastColumn="0"/>
          <w:trHeight w:val="27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305375DB"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Urclim</w:t>
            </w:r>
          </w:p>
        </w:tc>
        <w:tc>
          <w:tcPr>
            <w:tcW w:w="1344" w:type="dxa"/>
            <w:hideMark/>
          </w:tcPr>
          <w:p w14:paraId="0CDD14A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Urclim fournit une aide à la décision aux urbanistes et aux acteurs associés</w:t>
            </w:r>
          </w:p>
        </w:tc>
        <w:tc>
          <w:tcPr>
            <w:tcW w:w="889" w:type="dxa"/>
            <w:hideMark/>
          </w:tcPr>
          <w:p w14:paraId="4A2C979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2018</w:t>
            </w:r>
          </w:p>
        </w:tc>
        <w:tc>
          <w:tcPr>
            <w:tcW w:w="965" w:type="dxa"/>
            <w:noWrap/>
            <w:hideMark/>
          </w:tcPr>
          <w:p w14:paraId="2BC1795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urb</w:t>
            </w:r>
          </w:p>
        </w:tc>
        <w:tc>
          <w:tcPr>
            <w:tcW w:w="767" w:type="dxa"/>
            <w:noWrap/>
            <w:hideMark/>
          </w:tcPr>
          <w:p w14:paraId="3857E80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ae; ap</w:t>
            </w:r>
          </w:p>
        </w:tc>
        <w:tc>
          <w:tcPr>
            <w:tcW w:w="1162" w:type="dxa"/>
            <w:hideMark/>
          </w:tcPr>
          <w:p w14:paraId="1F6C1E1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 France</w:t>
            </w:r>
          </w:p>
        </w:tc>
        <w:tc>
          <w:tcPr>
            <w:tcW w:w="1327" w:type="dxa"/>
            <w:noWrap/>
            <w:hideMark/>
          </w:tcPr>
          <w:p w14:paraId="11CB4D3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3F5F2B2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9</w:t>
            </w:r>
          </w:p>
        </w:tc>
      </w:tr>
      <w:tr w:rsidR="00A1305C" w:rsidRPr="00764336" w14:paraId="067CB273" w14:textId="77777777" w:rsidTr="000E329F">
        <w:trPr>
          <w:trHeight w:val="57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4C2F5FC6"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Vineas</w:t>
            </w:r>
          </w:p>
        </w:tc>
        <w:tc>
          <w:tcPr>
            <w:tcW w:w="1344" w:type="dxa"/>
            <w:hideMark/>
          </w:tcPr>
          <w:p w14:paraId="507A1BBA"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Plateforme collaborative qui rassemble acteurs et projets et permet de partager des connaissances sur l'adaptation de la viticulture méditerranéenne au changement climatique</w:t>
            </w:r>
          </w:p>
        </w:tc>
        <w:tc>
          <w:tcPr>
            <w:tcW w:w="889" w:type="dxa"/>
            <w:hideMark/>
          </w:tcPr>
          <w:p w14:paraId="7DB086E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2021</w:t>
            </w:r>
          </w:p>
        </w:tc>
        <w:tc>
          <w:tcPr>
            <w:tcW w:w="965" w:type="dxa"/>
            <w:noWrap/>
            <w:hideMark/>
          </w:tcPr>
          <w:p w14:paraId="783392E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6D9752B3"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ae; ap; ct</w:t>
            </w:r>
          </w:p>
        </w:tc>
        <w:tc>
          <w:tcPr>
            <w:tcW w:w="1162" w:type="dxa"/>
            <w:hideMark/>
          </w:tcPr>
          <w:p w14:paraId="614C927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Inrae, CIRAD</w:t>
            </w:r>
          </w:p>
        </w:tc>
        <w:tc>
          <w:tcPr>
            <w:tcW w:w="1327" w:type="dxa"/>
            <w:hideMark/>
          </w:tcPr>
          <w:p w14:paraId="519AC4C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(projet européen MEDCLIV financé par la Climate-KIC )</w:t>
            </w:r>
          </w:p>
        </w:tc>
        <w:tc>
          <w:tcPr>
            <w:tcW w:w="975" w:type="dxa"/>
            <w:noWrap/>
            <w:hideMark/>
          </w:tcPr>
          <w:p w14:paraId="397CDED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9</w:t>
            </w:r>
          </w:p>
        </w:tc>
      </w:tr>
      <w:tr w:rsidR="00A1305C" w:rsidRPr="00764336" w14:paraId="60D1229F" w14:textId="77777777" w:rsidTr="000E329F">
        <w:trPr>
          <w:cnfStyle w:val="000000100000" w:firstRow="0" w:lastRow="0" w:firstColumn="0" w:lastColumn="0" w:oddVBand="0" w:evenVBand="0" w:oddHBand="1" w:evenHBand="0" w:firstRowFirstColumn="0" w:firstRowLastColumn="0" w:lastRowFirstColumn="0" w:lastRowLastColumn="0"/>
          <w:trHeight w:val="21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78D693EE"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Sarra</w:t>
            </w:r>
          </w:p>
        </w:tc>
        <w:tc>
          <w:tcPr>
            <w:tcW w:w="1344" w:type="dxa"/>
            <w:hideMark/>
          </w:tcPr>
          <w:p w14:paraId="5AF60D77"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Modèle de simulation des cultures au Brésil, au Sénégal, etc.</w:t>
            </w:r>
          </w:p>
        </w:tc>
        <w:tc>
          <w:tcPr>
            <w:tcW w:w="889" w:type="dxa"/>
            <w:hideMark/>
          </w:tcPr>
          <w:p w14:paraId="4C84A35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2000</w:t>
            </w:r>
          </w:p>
        </w:tc>
        <w:tc>
          <w:tcPr>
            <w:tcW w:w="965" w:type="dxa"/>
            <w:noWrap/>
            <w:hideMark/>
          </w:tcPr>
          <w:p w14:paraId="177B427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6EB1540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ct; ap</w:t>
            </w:r>
          </w:p>
        </w:tc>
        <w:tc>
          <w:tcPr>
            <w:tcW w:w="1162" w:type="dxa"/>
            <w:hideMark/>
          </w:tcPr>
          <w:p w14:paraId="23F15BF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CIRAD</w:t>
            </w:r>
          </w:p>
        </w:tc>
        <w:tc>
          <w:tcPr>
            <w:tcW w:w="1327" w:type="dxa"/>
            <w:noWrap/>
            <w:hideMark/>
          </w:tcPr>
          <w:p w14:paraId="7D631C2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5E3CE2A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6</w:t>
            </w:r>
          </w:p>
        </w:tc>
      </w:tr>
      <w:tr w:rsidR="00A1305C" w:rsidRPr="00764336" w14:paraId="5DDA272A" w14:textId="77777777" w:rsidTr="000E329F">
        <w:trPr>
          <w:trHeight w:val="24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22A1FCD"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CANARI</w:t>
            </w:r>
          </w:p>
        </w:tc>
        <w:tc>
          <w:tcPr>
            <w:tcW w:w="1344" w:type="dxa"/>
            <w:hideMark/>
          </w:tcPr>
          <w:p w14:paraId="3512E6D9"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Calcul d'indicateurs agro-climatiques sur la base des projections DRIAS</w:t>
            </w:r>
          </w:p>
        </w:tc>
        <w:tc>
          <w:tcPr>
            <w:tcW w:w="889" w:type="dxa"/>
            <w:hideMark/>
          </w:tcPr>
          <w:p w14:paraId="6C26E319"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2023</w:t>
            </w:r>
          </w:p>
        </w:tc>
        <w:tc>
          <w:tcPr>
            <w:tcW w:w="965" w:type="dxa"/>
            <w:noWrap/>
            <w:hideMark/>
          </w:tcPr>
          <w:p w14:paraId="2AE3359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698C818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 ct; ae</w:t>
            </w:r>
          </w:p>
        </w:tc>
        <w:tc>
          <w:tcPr>
            <w:tcW w:w="1162" w:type="dxa"/>
            <w:hideMark/>
          </w:tcPr>
          <w:p w14:paraId="4E5117EA"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Solagro; Météo France</w:t>
            </w:r>
          </w:p>
        </w:tc>
        <w:tc>
          <w:tcPr>
            <w:tcW w:w="1327" w:type="dxa"/>
            <w:hideMark/>
          </w:tcPr>
          <w:p w14:paraId="180F54F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1F3C0D6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5</w:t>
            </w:r>
          </w:p>
        </w:tc>
      </w:tr>
      <w:tr w:rsidR="00A1305C" w:rsidRPr="00764336" w14:paraId="089B9028" w14:textId="77777777" w:rsidTr="000E329F">
        <w:trPr>
          <w:cnfStyle w:val="000000100000" w:firstRow="0" w:lastRow="0" w:firstColumn="0" w:lastColumn="0" w:oddVBand="0" w:evenVBand="0" w:oddHBand="1" w:evenHBand="0" w:firstRowFirstColumn="0" w:firstRowLastColumn="0" w:lastRowFirstColumn="0" w:lastRowLastColumn="0"/>
          <w:trHeight w:val="27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151D69CD"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Climadiag entreprise</w:t>
            </w:r>
          </w:p>
        </w:tc>
        <w:tc>
          <w:tcPr>
            <w:tcW w:w="1344" w:type="dxa"/>
            <w:hideMark/>
          </w:tcPr>
          <w:p w14:paraId="2470946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Indicateurs thématiques sur la base des projections DRIAS à destination des entreprises</w:t>
            </w:r>
          </w:p>
        </w:tc>
        <w:tc>
          <w:tcPr>
            <w:tcW w:w="889" w:type="dxa"/>
            <w:hideMark/>
          </w:tcPr>
          <w:p w14:paraId="422DC9A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2022</w:t>
            </w:r>
          </w:p>
        </w:tc>
        <w:tc>
          <w:tcPr>
            <w:tcW w:w="965" w:type="dxa"/>
            <w:noWrap/>
            <w:hideMark/>
          </w:tcPr>
          <w:p w14:paraId="719D51A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3B531D0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ae</w:t>
            </w:r>
          </w:p>
        </w:tc>
        <w:tc>
          <w:tcPr>
            <w:tcW w:w="1162" w:type="dxa"/>
            <w:hideMark/>
          </w:tcPr>
          <w:p w14:paraId="7E8E9FB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 France</w:t>
            </w:r>
          </w:p>
        </w:tc>
        <w:tc>
          <w:tcPr>
            <w:tcW w:w="1327" w:type="dxa"/>
            <w:noWrap/>
            <w:hideMark/>
          </w:tcPr>
          <w:p w14:paraId="409306F4"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637E8AB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4</w:t>
            </w:r>
          </w:p>
        </w:tc>
      </w:tr>
      <w:tr w:rsidR="00A1305C" w:rsidRPr="00764336" w14:paraId="24D5DBD4" w14:textId="77777777" w:rsidTr="000E329F">
        <w:trPr>
          <w:trHeight w:val="30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2F5F891"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Sea level rise</w:t>
            </w:r>
          </w:p>
        </w:tc>
        <w:tc>
          <w:tcPr>
            <w:tcW w:w="1344" w:type="dxa"/>
            <w:hideMark/>
          </w:tcPr>
          <w:p w14:paraId="414DA8B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Démonstrateur proposant des variables liées à la surface de la mer pour l'aide à la décision</w:t>
            </w:r>
          </w:p>
        </w:tc>
        <w:tc>
          <w:tcPr>
            <w:tcW w:w="889" w:type="dxa"/>
            <w:hideMark/>
          </w:tcPr>
          <w:p w14:paraId="46A35C1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2021</w:t>
            </w:r>
          </w:p>
        </w:tc>
        <w:tc>
          <w:tcPr>
            <w:tcW w:w="965" w:type="dxa"/>
            <w:noWrap/>
            <w:hideMark/>
          </w:tcPr>
          <w:p w14:paraId="0410BFD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mer</w:t>
            </w:r>
          </w:p>
        </w:tc>
        <w:tc>
          <w:tcPr>
            <w:tcW w:w="767" w:type="dxa"/>
            <w:noWrap/>
            <w:hideMark/>
          </w:tcPr>
          <w:p w14:paraId="119C5AA6"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ct; ap</w:t>
            </w:r>
          </w:p>
        </w:tc>
        <w:tc>
          <w:tcPr>
            <w:tcW w:w="1162" w:type="dxa"/>
            <w:hideMark/>
          </w:tcPr>
          <w:p w14:paraId="364E46FB"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BRGM</w:t>
            </w:r>
          </w:p>
        </w:tc>
        <w:tc>
          <w:tcPr>
            <w:tcW w:w="1327" w:type="dxa"/>
            <w:noWrap/>
            <w:hideMark/>
          </w:tcPr>
          <w:p w14:paraId="7405D94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1F6C9D2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4</w:t>
            </w:r>
          </w:p>
        </w:tc>
      </w:tr>
      <w:tr w:rsidR="00A1305C" w:rsidRPr="00764336" w14:paraId="61DA2D58" w14:textId="77777777" w:rsidTr="000E329F">
        <w:trPr>
          <w:cnfStyle w:val="000000100000" w:firstRow="0" w:lastRow="0" w:firstColumn="0" w:lastColumn="0" w:oddVBand="0" w:evenVBand="0" w:oddHBand="1" w:evenHBand="0" w:firstRowFirstColumn="0" w:firstRowLastColumn="0" w:lastRowFirstColumn="0" w:lastRowLastColumn="0"/>
          <w:trHeight w:val="54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3B5F14C1"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Clim2power</w:t>
            </w:r>
          </w:p>
        </w:tc>
        <w:tc>
          <w:tcPr>
            <w:tcW w:w="1344" w:type="dxa"/>
            <w:hideMark/>
          </w:tcPr>
          <w:p w14:paraId="49AC078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Estimation de des effets du changement climatique sur les rendements en énergie renouvelables et sur les besoin de chauffage et de refroidissement</w:t>
            </w:r>
          </w:p>
        </w:tc>
        <w:tc>
          <w:tcPr>
            <w:tcW w:w="889" w:type="dxa"/>
            <w:hideMark/>
          </w:tcPr>
          <w:p w14:paraId="198044F4"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68E206E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ener</w:t>
            </w:r>
          </w:p>
        </w:tc>
        <w:tc>
          <w:tcPr>
            <w:tcW w:w="767" w:type="dxa"/>
            <w:noWrap/>
            <w:hideMark/>
          </w:tcPr>
          <w:p w14:paraId="422EAF1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ae; ct; ap</w:t>
            </w:r>
          </w:p>
        </w:tc>
        <w:tc>
          <w:tcPr>
            <w:tcW w:w="1162" w:type="dxa"/>
            <w:noWrap/>
            <w:hideMark/>
          </w:tcPr>
          <w:p w14:paraId="13FFFEE4"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Mines ParisTech</w:t>
            </w:r>
          </w:p>
        </w:tc>
        <w:tc>
          <w:tcPr>
            <w:tcW w:w="1327" w:type="dxa"/>
            <w:noWrap/>
            <w:hideMark/>
          </w:tcPr>
          <w:p w14:paraId="5EE23C2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Oui (ERA4CS)</w:t>
            </w:r>
          </w:p>
        </w:tc>
        <w:tc>
          <w:tcPr>
            <w:tcW w:w="975" w:type="dxa"/>
            <w:noWrap/>
            <w:hideMark/>
          </w:tcPr>
          <w:p w14:paraId="2829ACE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3</w:t>
            </w:r>
          </w:p>
        </w:tc>
      </w:tr>
      <w:tr w:rsidR="00A1305C" w:rsidRPr="00764336" w14:paraId="42E4A317" w14:textId="77777777" w:rsidTr="000E329F">
        <w:trPr>
          <w:trHeight w:val="51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0A0A819B"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AgroMetInfo</w:t>
            </w:r>
          </w:p>
        </w:tc>
        <w:tc>
          <w:tcPr>
            <w:tcW w:w="1344" w:type="dxa"/>
            <w:hideMark/>
          </w:tcPr>
          <w:p w14:paraId="501ADBB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Site internet d’information, permettant d’analyser l’influence du climat sur la production agricole et d’anticiper des adaptations de l’itinéraire technique</w:t>
            </w:r>
          </w:p>
        </w:tc>
        <w:tc>
          <w:tcPr>
            <w:tcW w:w="889" w:type="dxa"/>
            <w:hideMark/>
          </w:tcPr>
          <w:p w14:paraId="15B4A4F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4E2A075A"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3D68DD3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hideMark/>
          </w:tcPr>
          <w:p w14:paraId="7AFA5DF0"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INRAE ; Météo France</w:t>
            </w:r>
          </w:p>
        </w:tc>
        <w:tc>
          <w:tcPr>
            <w:tcW w:w="1327" w:type="dxa"/>
            <w:noWrap/>
            <w:hideMark/>
          </w:tcPr>
          <w:p w14:paraId="71F2C8C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0A0D7F9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w:t>
            </w:r>
          </w:p>
        </w:tc>
      </w:tr>
      <w:tr w:rsidR="00A1305C" w:rsidRPr="00764336" w14:paraId="0337DA9A" w14:textId="77777777" w:rsidTr="000E329F">
        <w:trPr>
          <w:cnfStyle w:val="000000100000" w:firstRow="0" w:lastRow="0" w:firstColumn="0" w:lastColumn="0" w:oddVBand="0" w:evenVBand="0" w:oddHBand="1" w:evenHBand="0" w:firstRowFirstColumn="0" w:firstRowLastColumn="0" w:lastRowFirstColumn="0" w:lastRowLastColumn="0"/>
          <w:trHeight w:val="819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8517E06"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Artaclim</w:t>
            </w:r>
          </w:p>
        </w:tc>
        <w:tc>
          <w:tcPr>
            <w:tcW w:w="1344" w:type="dxa"/>
            <w:hideMark/>
          </w:tcPr>
          <w:p w14:paraId="495C8FC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Projet de recherche-action transfrontalier dont l'objectif principal est de promouvoir l'introduction de mesures d'adaptation au changement climatique dans le cadre de la planification et de l'aménagement du territoire des administrations publiques</w:t>
            </w:r>
          </w:p>
        </w:tc>
        <w:tc>
          <w:tcPr>
            <w:tcW w:w="889" w:type="dxa"/>
            <w:hideMark/>
          </w:tcPr>
          <w:p w14:paraId="54E83D9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2017</w:t>
            </w:r>
          </w:p>
        </w:tc>
        <w:tc>
          <w:tcPr>
            <w:tcW w:w="965" w:type="dxa"/>
            <w:noWrap/>
            <w:hideMark/>
          </w:tcPr>
          <w:p w14:paraId="6C8F7C2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gen</w:t>
            </w:r>
          </w:p>
        </w:tc>
        <w:tc>
          <w:tcPr>
            <w:tcW w:w="767" w:type="dxa"/>
            <w:noWrap/>
            <w:hideMark/>
          </w:tcPr>
          <w:p w14:paraId="5799F99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ae; ap; ct</w:t>
            </w:r>
          </w:p>
        </w:tc>
        <w:tc>
          <w:tcPr>
            <w:tcW w:w="1162" w:type="dxa"/>
            <w:hideMark/>
          </w:tcPr>
          <w:p w14:paraId="490A178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Université Grenoble Alpes</w:t>
            </w:r>
          </w:p>
        </w:tc>
        <w:tc>
          <w:tcPr>
            <w:tcW w:w="1327" w:type="dxa"/>
            <w:noWrap/>
            <w:hideMark/>
          </w:tcPr>
          <w:p w14:paraId="2334D2C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3C8631F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w:t>
            </w:r>
          </w:p>
        </w:tc>
      </w:tr>
      <w:tr w:rsidR="00A1305C" w:rsidRPr="00764336" w14:paraId="556F130C" w14:textId="77777777" w:rsidTr="000E329F">
        <w:trPr>
          <w:trHeight w:val="63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10CA01D1"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e-Watch</w:t>
            </w:r>
          </w:p>
        </w:tc>
        <w:tc>
          <w:tcPr>
            <w:tcW w:w="1344" w:type="dxa"/>
            <w:hideMark/>
          </w:tcPr>
          <w:p w14:paraId="30B4676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Portail de structuration, gestion, suivi et restitution des données d'observatoires, utilisé dans de nombreux projets de pilotage de la transition agro-écologique et de partage de données multi-sites</w:t>
            </w:r>
          </w:p>
        </w:tc>
        <w:tc>
          <w:tcPr>
            <w:tcW w:w="889" w:type="dxa"/>
            <w:hideMark/>
          </w:tcPr>
          <w:p w14:paraId="0DD509B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2016</w:t>
            </w:r>
          </w:p>
        </w:tc>
        <w:tc>
          <w:tcPr>
            <w:tcW w:w="965" w:type="dxa"/>
            <w:noWrap/>
            <w:hideMark/>
          </w:tcPr>
          <w:p w14:paraId="40E299A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502CA1C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w:t>
            </w:r>
          </w:p>
        </w:tc>
        <w:tc>
          <w:tcPr>
            <w:tcW w:w="1162" w:type="dxa"/>
            <w:hideMark/>
          </w:tcPr>
          <w:p w14:paraId="5B467B5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CIRAD</w:t>
            </w:r>
          </w:p>
        </w:tc>
        <w:tc>
          <w:tcPr>
            <w:tcW w:w="1327" w:type="dxa"/>
            <w:noWrap/>
            <w:hideMark/>
          </w:tcPr>
          <w:p w14:paraId="39F7DAEE"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7496BA1E"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1</w:t>
            </w:r>
          </w:p>
        </w:tc>
      </w:tr>
      <w:tr w:rsidR="00A1305C" w:rsidRPr="00764336" w14:paraId="30F592E1" w14:textId="77777777" w:rsidTr="000E329F">
        <w:trPr>
          <w:cnfStyle w:val="000000100000" w:firstRow="0" w:lastRow="0" w:firstColumn="0" w:lastColumn="0" w:oddVBand="0" w:evenVBand="0" w:oddHBand="1" w:evenHBand="0" w:firstRowFirstColumn="0" w:firstRowLastColumn="0" w:lastRowFirstColumn="0" w:lastRowLastColumn="0"/>
          <w:trHeight w:val="33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213AA0D5"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Democlim</w:t>
            </w:r>
          </w:p>
        </w:tc>
        <w:tc>
          <w:tcPr>
            <w:tcW w:w="1344" w:type="dxa"/>
            <w:hideMark/>
          </w:tcPr>
          <w:p w14:paraId="6138CD5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Aide les gestionnaires de l'eau à l'élaboration d'un diagnostic climatique territorial en Bretagne</w:t>
            </w:r>
          </w:p>
        </w:tc>
        <w:tc>
          <w:tcPr>
            <w:tcW w:w="889" w:type="dxa"/>
            <w:hideMark/>
          </w:tcPr>
          <w:p w14:paraId="5FC4EAB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206D850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eau</w:t>
            </w:r>
          </w:p>
        </w:tc>
        <w:tc>
          <w:tcPr>
            <w:tcW w:w="767" w:type="dxa"/>
            <w:noWrap/>
            <w:hideMark/>
          </w:tcPr>
          <w:p w14:paraId="24949AB5"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ap; be</w:t>
            </w:r>
          </w:p>
        </w:tc>
        <w:tc>
          <w:tcPr>
            <w:tcW w:w="1162" w:type="dxa"/>
            <w:hideMark/>
          </w:tcPr>
          <w:p w14:paraId="73FFEAB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Université Rennes 2; Météo-France</w:t>
            </w:r>
          </w:p>
        </w:tc>
        <w:tc>
          <w:tcPr>
            <w:tcW w:w="1327" w:type="dxa"/>
            <w:hideMark/>
          </w:tcPr>
          <w:p w14:paraId="3BDB797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6DCEC8A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0</w:t>
            </w:r>
          </w:p>
        </w:tc>
      </w:tr>
      <w:tr w:rsidR="00A1305C" w:rsidRPr="00764336" w14:paraId="360FE859" w14:textId="77777777" w:rsidTr="000E329F">
        <w:trPr>
          <w:trHeight w:val="78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5810894B"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Forets-21</w:t>
            </w:r>
          </w:p>
        </w:tc>
        <w:tc>
          <w:tcPr>
            <w:tcW w:w="1344" w:type="dxa"/>
            <w:hideMark/>
          </w:tcPr>
          <w:p w14:paraId="0D6FEDF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Forêts-21 est un service web forestier de pilotage stratégique des forêts de production métropolitaines. Le portail met à disposition les simulations de différents modes de gestion forestière en contexte de changement climatique.</w:t>
            </w:r>
          </w:p>
        </w:tc>
        <w:tc>
          <w:tcPr>
            <w:tcW w:w="889" w:type="dxa"/>
            <w:hideMark/>
          </w:tcPr>
          <w:p w14:paraId="0E4B7405"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2022</w:t>
            </w:r>
          </w:p>
        </w:tc>
        <w:tc>
          <w:tcPr>
            <w:tcW w:w="965" w:type="dxa"/>
            <w:noWrap/>
            <w:hideMark/>
          </w:tcPr>
          <w:p w14:paraId="7FAE987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681CE7D9"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w:t>
            </w:r>
          </w:p>
        </w:tc>
        <w:tc>
          <w:tcPr>
            <w:tcW w:w="1162" w:type="dxa"/>
            <w:noWrap/>
            <w:hideMark/>
          </w:tcPr>
          <w:p w14:paraId="37F75429"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INRAE</w:t>
            </w:r>
          </w:p>
        </w:tc>
        <w:tc>
          <w:tcPr>
            <w:tcW w:w="1327" w:type="dxa"/>
            <w:noWrap/>
            <w:hideMark/>
          </w:tcPr>
          <w:p w14:paraId="26648B0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7A37499C"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0</w:t>
            </w:r>
          </w:p>
        </w:tc>
      </w:tr>
      <w:tr w:rsidR="00A1305C" w:rsidRPr="00764336" w14:paraId="4AFAACEA" w14:textId="77777777" w:rsidTr="000E329F">
        <w:trPr>
          <w:cnfStyle w:val="000000100000" w:firstRow="0" w:lastRow="0" w:firstColumn="0" w:lastColumn="0" w:oddVBand="0" w:evenVBand="0" w:oddHBand="1" w:evenHBand="0" w:firstRowFirstColumn="0" w:firstRowLastColumn="0" w:lastRowFirstColumn="0" w:lastRowLastColumn="0"/>
          <w:trHeight w:val="21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1B516FC8"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Géoportail Anacim</w:t>
            </w:r>
          </w:p>
        </w:tc>
        <w:tc>
          <w:tcPr>
            <w:tcW w:w="1344" w:type="dxa"/>
            <w:hideMark/>
          </w:tcPr>
          <w:p w14:paraId="1E3A1025"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Projections climatiques pour des indicateurs agro-climatiques au Sénégal</w:t>
            </w:r>
          </w:p>
        </w:tc>
        <w:tc>
          <w:tcPr>
            <w:tcW w:w="889" w:type="dxa"/>
            <w:noWrap/>
            <w:hideMark/>
          </w:tcPr>
          <w:p w14:paraId="2F87DDC0"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2021</w:t>
            </w:r>
          </w:p>
        </w:tc>
        <w:tc>
          <w:tcPr>
            <w:tcW w:w="965" w:type="dxa"/>
            <w:noWrap/>
            <w:hideMark/>
          </w:tcPr>
          <w:p w14:paraId="0A52E54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29334038"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ct; ae</w:t>
            </w:r>
          </w:p>
        </w:tc>
        <w:tc>
          <w:tcPr>
            <w:tcW w:w="1162" w:type="dxa"/>
            <w:hideMark/>
          </w:tcPr>
          <w:p w14:paraId="2E33733F"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IRD</w:t>
            </w:r>
          </w:p>
        </w:tc>
        <w:tc>
          <w:tcPr>
            <w:tcW w:w="1327" w:type="dxa"/>
            <w:noWrap/>
            <w:hideMark/>
          </w:tcPr>
          <w:p w14:paraId="06D8F5A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4C53EEBD"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0</w:t>
            </w:r>
          </w:p>
        </w:tc>
      </w:tr>
      <w:tr w:rsidR="00A1305C" w:rsidRPr="00764336" w14:paraId="4A90C531" w14:textId="77777777" w:rsidTr="000E329F">
        <w:trPr>
          <w:trHeight w:val="24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0DC86833"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Ilot de chaleur urbain</w:t>
            </w:r>
          </w:p>
        </w:tc>
        <w:tc>
          <w:tcPr>
            <w:tcW w:w="1344" w:type="dxa"/>
            <w:hideMark/>
          </w:tcPr>
          <w:p w14:paraId="5C52222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Offre de diagnostics de l’îlot de chaleur urbain à l’échelle d’une commune.</w:t>
            </w:r>
          </w:p>
        </w:tc>
        <w:tc>
          <w:tcPr>
            <w:tcW w:w="889" w:type="dxa"/>
            <w:hideMark/>
          </w:tcPr>
          <w:p w14:paraId="57A9697D"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2020</w:t>
            </w:r>
          </w:p>
        </w:tc>
        <w:tc>
          <w:tcPr>
            <w:tcW w:w="965" w:type="dxa"/>
            <w:noWrap/>
            <w:hideMark/>
          </w:tcPr>
          <w:p w14:paraId="1940B98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urb</w:t>
            </w:r>
          </w:p>
        </w:tc>
        <w:tc>
          <w:tcPr>
            <w:tcW w:w="767" w:type="dxa"/>
            <w:noWrap/>
            <w:hideMark/>
          </w:tcPr>
          <w:p w14:paraId="63193C3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be; ap; ct</w:t>
            </w:r>
          </w:p>
        </w:tc>
        <w:tc>
          <w:tcPr>
            <w:tcW w:w="1162" w:type="dxa"/>
            <w:hideMark/>
          </w:tcPr>
          <w:p w14:paraId="5A27E637"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Météo-France</w:t>
            </w:r>
          </w:p>
        </w:tc>
        <w:tc>
          <w:tcPr>
            <w:tcW w:w="1327" w:type="dxa"/>
            <w:noWrap/>
            <w:hideMark/>
          </w:tcPr>
          <w:p w14:paraId="47B7BCD3"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6ED3B341"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0</w:t>
            </w:r>
          </w:p>
        </w:tc>
      </w:tr>
      <w:tr w:rsidR="00A1305C" w:rsidRPr="00764336" w14:paraId="6DE20BE7" w14:textId="77777777" w:rsidTr="000E329F">
        <w:trPr>
          <w:cnfStyle w:val="000000100000" w:firstRow="0" w:lastRow="0" w:firstColumn="0" w:lastColumn="0" w:oddVBand="0" w:evenVBand="0" w:oddHBand="1" w:evenHBand="0" w:firstRowFirstColumn="0" w:firstRowLastColumn="0" w:lastRowFirstColumn="0" w:lastRowLastColumn="0"/>
          <w:trHeight w:val="60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2EE9B6F4"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Observatoires ORACLE</w:t>
            </w:r>
          </w:p>
        </w:tc>
        <w:tc>
          <w:tcPr>
            <w:tcW w:w="1344" w:type="dxa"/>
            <w:hideMark/>
          </w:tcPr>
          <w:p w14:paraId="571C736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Aider le monde agricole à mieux appréhender le changement climatique et à intégrer ces évolutions dans ses prises de décision, à des fins d’adaptation et d’atténuation</w:t>
            </w:r>
          </w:p>
        </w:tc>
        <w:tc>
          <w:tcPr>
            <w:tcW w:w="889" w:type="dxa"/>
            <w:hideMark/>
          </w:tcPr>
          <w:p w14:paraId="7B79492B"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2011</w:t>
            </w:r>
          </w:p>
        </w:tc>
        <w:tc>
          <w:tcPr>
            <w:tcW w:w="965" w:type="dxa"/>
            <w:noWrap/>
            <w:hideMark/>
          </w:tcPr>
          <w:p w14:paraId="76F8F50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47DCD181"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ct; ae</w:t>
            </w:r>
          </w:p>
        </w:tc>
        <w:tc>
          <w:tcPr>
            <w:tcW w:w="1162" w:type="dxa"/>
            <w:hideMark/>
          </w:tcPr>
          <w:p w14:paraId="7D5E121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Météo-France</w:t>
            </w:r>
          </w:p>
        </w:tc>
        <w:tc>
          <w:tcPr>
            <w:tcW w:w="1327" w:type="dxa"/>
            <w:noWrap/>
            <w:hideMark/>
          </w:tcPr>
          <w:p w14:paraId="1CE9AA9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4B433F59"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0</w:t>
            </w:r>
          </w:p>
        </w:tc>
      </w:tr>
      <w:tr w:rsidR="00A1305C" w:rsidRPr="00764336" w14:paraId="1CBFFF42" w14:textId="77777777" w:rsidTr="000E329F">
        <w:trPr>
          <w:trHeight w:val="15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13EF7D34"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t>Pixfruit</w:t>
            </w:r>
          </w:p>
        </w:tc>
        <w:tc>
          <w:tcPr>
            <w:tcW w:w="1344" w:type="dxa"/>
            <w:hideMark/>
          </w:tcPr>
          <w:p w14:paraId="65A2F719"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Prévision de la récolte de fruits tropicaux</w:t>
            </w:r>
          </w:p>
        </w:tc>
        <w:tc>
          <w:tcPr>
            <w:tcW w:w="889" w:type="dxa"/>
            <w:noWrap/>
            <w:hideMark/>
          </w:tcPr>
          <w:p w14:paraId="527178B8"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2019</w:t>
            </w:r>
          </w:p>
        </w:tc>
        <w:tc>
          <w:tcPr>
            <w:tcW w:w="965" w:type="dxa"/>
            <w:noWrap/>
            <w:hideMark/>
          </w:tcPr>
          <w:p w14:paraId="6630FB04"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001AAFEF"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ct; ae</w:t>
            </w:r>
          </w:p>
        </w:tc>
        <w:tc>
          <w:tcPr>
            <w:tcW w:w="1162" w:type="dxa"/>
            <w:hideMark/>
          </w:tcPr>
          <w:p w14:paraId="1ADC1162"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CIRAD</w:t>
            </w:r>
          </w:p>
        </w:tc>
        <w:tc>
          <w:tcPr>
            <w:tcW w:w="1327" w:type="dxa"/>
            <w:noWrap/>
            <w:hideMark/>
          </w:tcPr>
          <w:p w14:paraId="0793A0DE"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458F125B" w14:textId="77777777" w:rsidR="00676FD8" w:rsidRPr="00764336" w:rsidRDefault="00676FD8" w:rsidP="00676FD8">
            <w:pPr>
              <w:spacing w:before="0" w:after="0"/>
              <w:ind w:firstLine="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0</w:t>
            </w:r>
          </w:p>
        </w:tc>
      </w:tr>
      <w:tr w:rsidR="00A1305C" w:rsidRPr="00764336" w14:paraId="520CFA8C" w14:textId="77777777" w:rsidTr="000E329F">
        <w:trPr>
          <w:cnfStyle w:val="000000100000" w:firstRow="0" w:lastRow="0" w:firstColumn="0" w:lastColumn="0" w:oddVBand="0" w:evenVBand="0" w:oddHBand="1" w:evenHBand="0" w:firstRowFirstColumn="0" w:firstRowLastColumn="0" w:lastRowFirstColumn="0" w:lastRowLastColumn="0"/>
          <w:trHeight w:val="1500"/>
        </w:trPr>
        <w:tc>
          <w:tcPr>
            <w:cnfStyle w:val="001000000000" w:firstRow="0" w:lastRow="0" w:firstColumn="1" w:lastColumn="0" w:oddVBand="0" w:evenVBand="0" w:oddHBand="0" w:evenHBand="0" w:firstRowFirstColumn="0" w:firstRowLastColumn="0" w:lastRowFirstColumn="0" w:lastRowLastColumn="0"/>
            <w:tcW w:w="1515" w:type="dxa"/>
            <w:noWrap/>
            <w:hideMark/>
          </w:tcPr>
          <w:p w14:paraId="0CB0446C" w14:textId="77777777" w:rsidR="00676FD8" w:rsidRPr="00764336" w:rsidRDefault="00676FD8" w:rsidP="00676FD8">
            <w:pPr>
              <w:spacing w:before="0" w:after="0"/>
              <w:ind w:firstLine="0"/>
              <w:rPr>
                <w:rFonts w:asciiTheme="majorHAnsi" w:hAnsiTheme="majorHAnsi" w:cstheme="majorHAnsi"/>
                <w:sz w:val="20"/>
                <w:szCs w:val="20"/>
              </w:rPr>
            </w:pPr>
            <w:r w:rsidRPr="00764336">
              <w:rPr>
                <w:rFonts w:asciiTheme="majorHAnsi" w:hAnsiTheme="majorHAnsi" w:cstheme="majorHAnsi"/>
                <w:sz w:val="20"/>
                <w:szCs w:val="20"/>
              </w:rPr>
              <w:lastRenderedPageBreak/>
              <w:t>SoYeald</w:t>
            </w:r>
          </w:p>
        </w:tc>
        <w:tc>
          <w:tcPr>
            <w:tcW w:w="1344" w:type="dxa"/>
            <w:hideMark/>
          </w:tcPr>
          <w:p w14:paraId="613D949C"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Application de Pixfruit à la culture de la mangue</w:t>
            </w:r>
          </w:p>
        </w:tc>
        <w:tc>
          <w:tcPr>
            <w:tcW w:w="889" w:type="dxa"/>
            <w:noWrap/>
            <w:hideMark/>
          </w:tcPr>
          <w:p w14:paraId="178AAAD6"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2021</w:t>
            </w:r>
          </w:p>
        </w:tc>
        <w:tc>
          <w:tcPr>
            <w:tcW w:w="965" w:type="dxa"/>
            <w:noWrap/>
            <w:hideMark/>
          </w:tcPr>
          <w:p w14:paraId="3DC8977A"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agri</w:t>
            </w:r>
          </w:p>
        </w:tc>
        <w:tc>
          <w:tcPr>
            <w:tcW w:w="767" w:type="dxa"/>
            <w:noWrap/>
            <w:hideMark/>
          </w:tcPr>
          <w:p w14:paraId="536804F3"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ct; ae</w:t>
            </w:r>
          </w:p>
        </w:tc>
        <w:tc>
          <w:tcPr>
            <w:tcW w:w="1162" w:type="dxa"/>
            <w:hideMark/>
          </w:tcPr>
          <w:p w14:paraId="5892D21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CIRAD</w:t>
            </w:r>
          </w:p>
        </w:tc>
        <w:tc>
          <w:tcPr>
            <w:tcW w:w="1327" w:type="dxa"/>
            <w:noWrap/>
            <w:hideMark/>
          </w:tcPr>
          <w:p w14:paraId="13939BB2"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p>
        </w:tc>
        <w:tc>
          <w:tcPr>
            <w:tcW w:w="975" w:type="dxa"/>
            <w:noWrap/>
            <w:hideMark/>
          </w:tcPr>
          <w:p w14:paraId="20C8CA7E" w14:textId="77777777" w:rsidR="00676FD8" w:rsidRPr="00764336" w:rsidRDefault="00676FD8" w:rsidP="00676FD8">
            <w:pPr>
              <w:spacing w:before="0" w:after="0"/>
              <w:ind w:firstLine="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 w:val="20"/>
                <w:szCs w:val="20"/>
              </w:rPr>
            </w:pPr>
            <w:r w:rsidRPr="00764336">
              <w:rPr>
                <w:rFonts w:asciiTheme="majorHAnsi" w:hAnsiTheme="majorHAnsi" w:cstheme="majorHAnsi"/>
                <w:sz w:val="20"/>
                <w:szCs w:val="20"/>
              </w:rPr>
              <w:t>0</w:t>
            </w:r>
          </w:p>
        </w:tc>
      </w:tr>
    </w:tbl>
    <w:p w14:paraId="1DA61E50" w14:textId="2A607FF7" w:rsidR="00CC7FDD" w:rsidRDefault="00334015" w:rsidP="00BA2892">
      <w:pPr>
        <w:pStyle w:val="Sourcenote"/>
      </w:pPr>
      <w:r>
        <w:t xml:space="preserve">Source : </w:t>
      </w:r>
      <w:r w:rsidR="00874CF0">
        <w:t xml:space="preserve">synthèse </w:t>
      </w:r>
      <w:r>
        <w:t>Cour des comptes</w:t>
      </w:r>
      <w:r w:rsidR="009F6D33">
        <w:t xml:space="preserve">. Les services ont été identifiés sur la base des réponses des acteurs rencontrés ainsi que </w:t>
      </w:r>
      <w:r w:rsidR="00874CF0">
        <w:t xml:space="preserve">par </w:t>
      </w:r>
      <w:r w:rsidR="009F6D33">
        <w:t>de recherches bibliographiques</w:t>
      </w:r>
      <w:r w:rsidR="00874CF0">
        <w:t>, notamment sur la base du centre de ressources pour l’adaptation porté par le MTE</w:t>
      </w:r>
      <w:r w:rsidR="00BA2892">
        <w:t xml:space="preserve"> dont les typologies ont été réemployées</w:t>
      </w:r>
      <w:r>
        <w:t>. Le rayonnement</w:t>
      </w:r>
      <w:r w:rsidR="009F6D33">
        <w:t xml:space="preserve"> (nombre de domaines référents) a été</w:t>
      </w:r>
      <w:r>
        <w:t xml:space="preserve"> obtenu </w:t>
      </w:r>
      <w:r w:rsidR="00874CF0">
        <w:t xml:space="preserve">avec </w:t>
      </w:r>
      <w:r>
        <w:t>l’outil Ubersuggest</w:t>
      </w:r>
      <w:r w:rsidR="00874CF0">
        <w:t xml:space="preserve"> employé par la Cour</w:t>
      </w:r>
      <w:r w:rsidR="00C17F86">
        <w:t xml:space="preserve"> pour les sites web suivants :</w:t>
      </w:r>
      <w:r w:rsidR="00CC7FDD">
        <w:t xml:space="preserve"> </w:t>
      </w:r>
      <w:r w:rsidR="00CC7FDD" w:rsidRPr="00CC7FDD">
        <w:t>https://climate.copernicus.eu/ ; https://www.drias-climat.fr/ ; https://www.isimip.org https://www.adaptation-changement-climatique.gouv.fr ; https://www.medscope-project.eu/ ; https://meteofrance.com/climathd ; https://www.reseau-aforce.fr ; https://meteofrance.com/climadiag-commune ; https://www.climsnow.com/ ; https://www.alpages-sentinelles.fr/ ; https://dataverse.ird.fr ; https://www.geosciences.ens.fr/recherche/projets/aqui-fr ; https://www.coclime.eu ; https://aquaclew.eu ; https://trajectories.univ-grenoble-alpes.fr/ ; https://mesocentre.ipsl.fr ; https://www.drias-eau.fr/ ; https://publitheque.meteo.fr/okapi/accueil/okapiWebPubli/index.jsp ; https://servforfire-era4cs.eu ; http://cocliserv.cearc.fr/ ; https://faveur.cerema.fr/public/home ; https://portal.osug.fr ; http://urclim.prod.lamp.cnrs.fr ; https://www.vineas.net/fr/1/home.html ; https://sarra-h.teledetection.fr/ ; https://canari-france.fr/ ; https://meteofrance.com/climadiag-entreprise ; https://sealevelrise.brgm.fr/sea-level-scenarios/ ; https://viewer.webservice-energy.org/clim2power/index.html ; https://www.agrometinfo.fr/ ; http://artaclim.eu/index.php/fr ; https://www.cirad.fr/collaborer-avec-nous/solutions-cirad-innov/produits-et-services/e-watch ; https://www.creseb.fr/projet-democlim/ ; https://forets21.inra.fr/pelican3.1/ ; http://geoportail.anacim.sn:8000/climap/proj/ ; https://services.meteofrance.com/changement-climatique/ilot-de-chaleur-urbain ; https://normandie.chambres-agriculture.fr/toutes-les-publications/publication/actualites/observatoire-oracle-les-enseignements-du-passe-climatique ; https://www.cirad.fr/collaborer-avec-nous/solutions-cirad-innov/produits-et-services/previsions-de-recolte-de-fruits-tropicaux-l-expertise-pixfruit ; https://www.sowit.fr/estimation-de-rendement-2/</w:t>
      </w:r>
    </w:p>
    <w:p w14:paraId="6EB66904" w14:textId="77777777" w:rsidR="00CC7FDD" w:rsidRDefault="00CC7FDD" w:rsidP="00BA2892">
      <w:pPr>
        <w:pStyle w:val="Sourcenote"/>
      </w:pPr>
    </w:p>
    <w:p w14:paraId="0B9B890E" w14:textId="00AFAE17" w:rsidR="00BA2892" w:rsidRPr="00BA2892" w:rsidRDefault="00334015" w:rsidP="00BA2892">
      <w:pPr>
        <w:pStyle w:val="Sourcenote"/>
      </w:pPr>
      <w:r>
        <w:t xml:space="preserve"> </w:t>
      </w:r>
      <w:r w:rsidR="00BA2892">
        <w:t>Légendes employées :</w:t>
      </w:r>
    </w:p>
    <w:p w14:paraId="6D3A988C" w14:textId="77777777" w:rsidR="00BA2892" w:rsidRDefault="00BA2892" w:rsidP="00BA2892">
      <w:pPr>
        <w:pStyle w:val="Sourcenote"/>
      </w:pPr>
    </w:p>
    <w:p w14:paraId="5C47426F" w14:textId="70AB0DBA" w:rsidR="00874CF0" w:rsidRDefault="009F6D33" w:rsidP="00BA2892">
      <w:pPr>
        <w:pStyle w:val="Sourcenote"/>
        <w:numPr>
          <w:ilvl w:val="0"/>
          <w:numId w:val="40"/>
        </w:numPr>
      </w:pPr>
      <w:r>
        <w:t xml:space="preserve">La signification des codes secteurs est la suivante : </w:t>
      </w:r>
      <w:r w:rsidR="00BA2892">
        <w:t xml:space="preserve">gen (généraliste), </w:t>
      </w:r>
      <w:r w:rsidR="00874CF0">
        <w:t>agri (a</w:t>
      </w:r>
      <w:r w:rsidR="00874CF0" w:rsidRPr="00376368">
        <w:t>griculture</w:t>
      </w:r>
      <w:r w:rsidR="00874CF0">
        <w:t xml:space="preserve"> et </w:t>
      </w:r>
      <w:r w:rsidR="00874CF0" w:rsidRPr="00376368">
        <w:t>sylviculture</w:t>
      </w:r>
      <w:r w:rsidR="00874CF0">
        <w:t>), eco (a</w:t>
      </w:r>
      <w:r w:rsidR="00874CF0" w:rsidRPr="00376368">
        <w:t>pproche économique</w:t>
      </w:r>
      <w:r w:rsidR="00874CF0">
        <w:t>), banq (banques et assurances), bâtiment (bat), biodiversité (biodiv), eau (eau), ener (energie), envi (environnement), indus (industrie), mer (mer), peche (pêche), risq (prévention des risques), ste (santé), tour (tourisme), trpt (transports et mobilité), urb (urbanismes et villes)</w:t>
      </w:r>
      <w:r w:rsidR="00BA2892">
        <w:t xml:space="preserve">. </w:t>
      </w:r>
    </w:p>
    <w:p w14:paraId="40B02457" w14:textId="77777777" w:rsidR="00BA2892" w:rsidRDefault="00BA2892" w:rsidP="00BA2892">
      <w:pPr>
        <w:pStyle w:val="Sourcenote"/>
      </w:pPr>
    </w:p>
    <w:p w14:paraId="6F60E183" w14:textId="4D7BA5A6" w:rsidR="009F6D33" w:rsidRDefault="009F6D33" w:rsidP="00BA2892">
      <w:pPr>
        <w:pStyle w:val="Sourcenote"/>
        <w:numPr>
          <w:ilvl w:val="0"/>
          <w:numId w:val="40"/>
        </w:numPr>
      </w:pPr>
      <w:r>
        <w:t xml:space="preserve">La signification des </w:t>
      </w:r>
      <w:r w:rsidR="00BA2892">
        <w:t xml:space="preserve">codes </w:t>
      </w:r>
      <w:r>
        <w:t xml:space="preserve">publics ciblés est la suivante : </w:t>
      </w:r>
      <w:r w:rsidR="00874CF0">
        <w:t xml:space="preserve">ae (acteur économique) ; </w:t>
      </w:r>
      <w:r w:rsidR="00376368">
        <w:t>be (b</w:t>
      </w:r>
      <w:r w:rsidRPr="00376368">
        <w:t>ureau d'études</w:t>
      </w:r>
      <w:r w:rsidR="00376368">
        <w:t xml:space="preserve">), </w:t>
      </w:r>
      <w:r w:rsidR="00874CF0">
        <w:t>ct (c</w:t>
      </w:r>
      <w:r w:rsidR="00874CF0" w:rsidRPr="00376368">
        <w:t>ollectivité territoriale</w:t>
      </w:r>
      <w:r w:rsidR="00874CF0">
        <w:t xml:space="preserve">) ; </w:t>
      </w:r>
      <w:r w:rsidR="00874CF0" w:rsidRPr="00376368">
        <w:t>ens</w:t>
      </w:r>
      <w:r w:rsidR="00874CF0">
        <w:t xml:space="preserve"> (e</w:t>
      </w:r>
      <w:r w:rsidR="00874CF0" w:rsidRPr="00376368">
        <w:t>nseignant</w:t>
      </w:r>
      <w:r w:rsidR="00874CF0">
        <w:t>) ; part (p</w:t>
      </w:r>
      <w:r w:rsidR="00874CF0" w:rsidRPr="00376368">
        <w:t>articulier</w:t>
      </w:r>
      <w:r w:rsidR="00874CF0">
        <w:t xml:space="preserve">) ; ap (opérateur public). </w:t>
      </w:r>
    </w:p>
    <w:p w14:paraId="1B8E9DA9" w14:textId="4F8216D3" w:rsidR="002C6BB0" w:rsidRDefault="002C6BB0" w:rsidP="002C6BB0"/>
    <w:p w14:paraId="31E530F4" w14:textId="77777777" w:rsidR="002C6BB0" w:rsidRDefault="002C6BB0" w:rsidP="002C6BB0">
      <w:pPr>
        <w:pStyle w:val="Titretableau"/>
        <w:spacing w:before="400"/>
      </w:pPr>
      <w:r w:rsidRPr="000855CA">
        <w:lastRenderedPageBreak/>
        <w:t xml:space="preserve">Effectifs et rayonnement des services </w:t>
      </w:r>
      <w:r>
        <w:t xml:space="preserve">climatiques </w:t>
      </w:r>
      <w:r>
        <w:br/>
        <w:t>par secteur</w:t>
      </w:r>
    </w:p>
    <w:tbl>
      <w:tblPr>
        <w:tblStyle w:val="TABLEAURAPPORTPUBLICANNUEL"/>
        <w:tblW w:w="0" w:type="auto"/>
        <w:tblLook w:val="04A0" w:firstRow="1" w:lastRow="0" w:firstColumn="1" w:lastColumn="0" w:noHBand="0" w:noVBand="1"/>
      </w:tblPr>
      <w:tblGrid>
        <w:gridCol w:w="2285"/>
        <w:gridCol w:w="1984"/>
        <w:gridCol w:w="2258"/>
        <w:gridCol w:w="1932"/>
      </w:tblGrid>
      <w:tr w:rsidR="002C6BB0" w14:paraId="7A22F3D8" w14:textId="77777777" w:rsidTr="00F618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top"/>
          </w:tcPr>
          <w:p w14:paraId="4093D935" w14:textId="77777777" w:rsidR="002C6BB0" w:rsidRPr="000855CA" w:rsidRDefault="002C6BB0" w:rsidP="00494E25">
            <w:pPr>
              <w:pStyle w:val="TableauSchmaOrganigrammealignementgauche"/>
            </w:pPr>
            <w:r w:rsidRPr="000855CA">
              <w:t>Secteur</w:t>
            </w:r>
          </w:p>
        </w:tc>
        <w:tc>
          <w:tcPr>
            <w:tcW w:w="0" w:type="auto"/>
            <w:vAlign w:val="top"/>
          </w:tcPr>
          <w:p w14:paraId="0300948F" w14:textId="77777777" w:rsidR="002C6BB0" w:rsidRPr="000855CA" w:rsidRDefault="002C6BB0"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0855CA">
              <w:t>Rayonnement cumulé</w:t>
            </w:r>
          </w:p>
        </w:tc>
        <w:tc>
          <w:tcPr>
            <w:tcW w:w="0" w:type="auto"/>
            <w:vAlign w:val="top"/>
          </w:tcPr>
          <w:p w14:paraId="484FDE4E" w14:textId="77777777" w:rsidR="002C6BB0" w:rsidRPr="000855CA" w:rsidRDefault="002C6BB0"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0855CA">
              <w:t>Nombre de services créés</w:t>
            </w:r>
          </w:p>
        </w:tc>
        <w:tc>
          <w:tcPr>
            <w:tcW w:w="0" w:type="auto"/>
            <w:vAlign w:val="top"/>
          </w:tcPr>
          <w:p w14:paraId="3B10448F" w14:textId="77777777" w:rsidR="002C6BB0" w:rsidRPr="000855CA" w:rsidRDefault="002C6BB0"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0855CA">
              <w:t>Rayonnement moyen</w:t>
            </w:r>
          </w:p>
        </w:tc>
      </w:tr>
      <w:tr w:rsidR="002C6BB0" w14:paraId="139BB2EF"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29F193C4" w14:textId="77777777" w:rsidR="002C6BB0" w:rsidRPr="000855CA" w:rsidRDefault="002C6BB0" w:rsidP="00494E25">
            <w:pPr>
              <w:pStyle w:val="TableauSchmaOrganigrammealignementgauche"/>
            </w:pPr>
            <w:r w:rsidRPr="000855CA">
              <w:t>Services transversaux</w:t>
            </w:r>
          </w:p>
        </w:tc>
        <w:tc>
          <w:tcPr>
            <w:tcW w:w="0" w:type="auto"/>
            <w:vAlign w:val="top"/>
          </w:tcPr>
          <w:p w14:paraId="33BE8811"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4638</w:t>
            </w:r>
          </w:p>
        </w:tc>
        <w:tc>
          <w:tcPr>
            <w:tcW w:w="0" w:type="auto"/>
            <w:vAlign w:val="top"/>
          </w:tcPr>
          <w:p w14:paraId="2F76C10E"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15</w:t>
            </w:r>
          </w:p>
        </w:tc>
        <w:tc>
          <w:tcPr>
            <w:tcW w:w="0" w:type="auto"/>
            <w:vAlign w:val="top"/>
          </w:tcPr>
          <w:p w14:paraId="79D8F77F"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309</w:t>
            </w:r>
          </w:p>
        </w:tc>
      </w:tr>
      <w:tr w:rsidR="002C6BB0" w14:paraId="54AA7409"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572C2E99" w14:textId="77777777" w:rsidR="002C6BB0" w:rsidRPr="000855CA" w:rsidRDefault="002C6BB0" w:rsidP="00494E25">
            <w:pPr>
              <w:pStyle w:val="TableauSchmaOrganigrammealignementgauche"/>
            </w:pPr>
            <w:r w:rsidRPr="000855CA">
              <w:t>Tourisme</w:t>
            </w:r>
          </w:p>
        </w:tc>
        <w:tc>
          <w:tcPr>
            <w:tcW w:w="0" w:type="auto"/>
            <w:vAlign w:val="top"/>
          </w:tcPr>
          <w:p w14:paraId="55049120"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47</w:t>
            </w:r>
          </w:p>
        </w:tc>
        <w:tc>
          <w:tcPr>
            <w:tcW w:w="0" w:type="auto"/>
            <w:vAlign w:val="top"/>
          </w:tcPr>
          <w:p w14:paraId="2B4067E5"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1</w:t>
            </w:r>
            <w:r>
              <w:t xml:space="preserve"> (Climsnow)</w:t>
            </w:r>
          </w:p>
        </w:tc>
        <w:tc>
          <w:tcPr>
            <w:tcW w:w="0" w:type="auto"/>
            <w:vAlign w:val="top"/>
          </w:tcPr>
          <w:p w14:paraId="60DE8BEA"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47</w:t>
            </w:r>
          </w:p>
        </w:tc>
      </w:tr>
      <w:tr w:rsidR="002C6BB0" w14:paraId="65ACDA2C"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2A3269EB" w14:textId="77777777" w:rsidR="002C6BB0" w:rsidRPr="000855CA" w:rsidRDefault="002C6BB0" w:rsidP="00494E25">
            <w:pPr>
              <w:pStyle w:val="TableauSchmaOrganigrammealignementgauche"/>
            </w:pPr>
            <w:r w:rsidRPr="000855CA">
              <w:t>Eau, Mer et Pêche</w:t>
            </w:r>
          </w:p>
        </w:tc>
        <w:tc>
          <w:tcPr>
            <w:tcW w:w="0" w:type="auto"/>
            <w:vAlign w:val="top"/>
          </w:tcPr>
          <w:p w14:paraId="6B161E61"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129</w:t>
            </w:r>
          </w:p>
        </w:tc>
        <w:tc>
          <w:tcPr>
            <w:tcW w:w="0" w:type="auto"/>
            <w:vAlign w:val="top"/>
          </w:tcPr>
          <w:p w14:paraId="4A98706A"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6</w:t>
            </w:r>
          </w:p>
        </w:tc>
        <w:tc>
          <w:tcPr>
            <w:tcW w:w="0" w:type="auto"/>
            <w:vAlign w:val="top"/>
          </w:tcPr>
          <w:p w14:paraId="551D720A"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21,5</w:t>
            </w:r>
          </w:p>
        </w:tc>
      </w:tr>
      <w:tr w:rsidR="002C6BB0" w14:paraId="2423D8A0"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333AC372" w14:textId="77777777" w:rsidR="002C6BB0" w:rsidRPr="000855CA" w:rsidRDefault="002C6BB0" w:rsidP="00494E25">
            <w:pPr>
              <w:pStyle w:val="TableauSchmaOrganigrammealignementgauche"/>
            </w:pPr>
            <w:r w:rsidRPr="000855CA">
              <w:t>Agriculture et Sylviculture</w:t>
            </w:r>
          </w:p>
        </w:tc>
        <w:tc>
          <w:tcPr>
            <w:tcW w:w="0" w:type="auto"/>
            <w:vAlign w:val="top"/>
          </w:tcPr>
          <w:p w14:paraId="7068B0BF"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147</w:t>
            </w:r>
          </w:p>
        </w:tc>
        <w:tc>
          <w:tcPr>
            <w:tcW w:w="0" w:type="auto"/>
            <w:vAlign w:val="top"/>
          </w:tcPr>
          <w:p w14:paraId="7B518266"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13</w:t>
            </w:r>
          </w:p>
        </w:tc>
        <w:tc>
          <w:tcPr>
            <w:tcW w:w="0" w:type="auto"/>
            <w:vAlign w:val="top"/>
          </w:tcPr>
          <w:p w14:paraId="01047C5E"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11</w:t>
            </w:r>
          </w:p>
        </w:tc>
      </w:tr>
      <w:tr w:rsidR="002C6BB0" w14:paraId="00655595"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0E3A27A1" w14:textId="77777777" w:rsidR="002C6BB0" w:rsidRPr="000855CA" w:rsidRDefault="002C6BB0" w:rsidP="00494E25">
            <w:pPr>
              <w:pStyle w:val="TableauSchmaOrganigrammealignementgauche"/>
            </w:pPr>
            <w:r w:rsidRPr="000855CA">
              <w:t>Construction et Urbanisme</w:t>
            </w:r>
          </w:p>
        </w:tc>
        <w:tc>
          <w:tcPr>
            <w:tcW w:w="0" w:type="auto"/>
            <w:vAlign w:val="top"/>
          </w:tcPr>
          <w:p w14:paraId="680EFEA0"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t>18</w:t>
            </w:r>
          </w:p>
        </w:tc>
        <w:tc>
          <w:tcPr>
            <w:tcW w:w="0" w:type="auto"/>
            <w:vAlign w:val="top"/>
          </w:tcPr>
          <w:p w14:paraId="224B2BFD"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t>3</w:t>
            </w:r>
          </w:p>
        </w:tc>
        <w:tc>
          <w:tcPr>
            <w:tcW w:w="0" w:type="auto"/>
            <w:vAlign w:val="top"/>
          </w:tcPr>
          <w:p w14:paraId="38E33B43"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t>6</w:t>
            </w:r>
          </w:p>
        </w:tc>
      </w:tr>
      <w:tr w:rsidR="002C6BB0" w14:paraId="1D1B869B"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4A90D93E" w14:textId="77777777" w:rsidR="002C6BB0" w:rsidRPr="000855CA" w:rsidRDefault="002C6BB0" w:rsidP="00494E25">
            <w:pPr>
              <w:pStyle w:val="TableauSchmaOrganigrammealignementgauche"/>
            </w:pPr>
            <w:r w:rsidRPr="000855CA">
              <w:t>Energie</w:t>
            </w:r>
          </w:p>
        </w:tc>
        <w:tc>
          <w:tcPr>
            <w:tcW w:w="0" w:type="auto"/>
            <w:vAlign w:val="top"/>
          </w:tcPr>
          <w:p w14:paraId="31EB0E7F"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3</w:t>
            </w:r>
          </w:p>
        </w:tc>
        <w:tc>
          <w:tcPr>
            <w:tcW w:w="0" w:type="auto"/>
            <w:vAlign w:val="top"/>
          </w:tcPr>
          <w:p w14:paraId="2197E060"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1</w:t>
            </w:r>
          </w:p>
        </w:tc>
        <w:tc>
          <w:tcPr>
            <w:tcW w:w="0" w:type="auto"/>
            <w:vAlign w:val="top"/>
          </w:tcPr>
          <w:p w14:paraId="5A878C3A" w14:textId="77777777" w:rsidR="002C6BB0" w:rsidRPr="000855CA" w:rsidRDefault="002C6BB0" w:rsidP="00494E25">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855CA">
              <w:t>3</w:t>
            </w:r>
          </w:p>
        </w:tc>
      </w:tr>
    </w:tbl>
    <w:p w14:paraId="4407B39D" w14:textId="77777777" w:rsidR="002C6BB0" w:rsidRPr="000855CA" w:rsidRDefault="002C6BB0" w:rsidP="002C6BB0">
      <w:pPr>
        <w:pStyle w:val="TexteSource"/>
      </w:pPr>
      <w:r>
        <w:t>Source :</w:t>
      </w:r>
      <w:r w:rsidRPr="000855CA">
        <w:t xml:space="preserve"> Cour des comptes. Le rayonnement a été calculé avec l’outil Ubersuggest.</w:t>
      </w:r>
      <w:r>
        <w:t xml:space="preserve"> Les secteurs sont classés par ordre décroissant du rayonnement moyen.</w:t>
      </w:r>
    </w:p>
    <w:p w14:paraId="5AF36D13" w14:textId="77777777" w:rsidR="00C33E09" w:rsidRDefault="00C33E09" w:rsidP="00C33E09">
      <w:pPr>
        <w:pStyle w:val="Titretableau"/>
        <w:spacing w:before="400"/>
      </w:pPr>
      <w:r>
        <w:t> Effectifs et rayonnement des services climatique suivant la nature des bénéficiaires.</w:t>
      </w:r>
    </w:p>
    <w:tbl>
      <w:tblPr>
        <w:tblStyle w:val="TABLEAURAPPORTPUBLICANNUEL"/>
        <w:tblW w:w="0" w:type="auto"/>
        <w:tblLook w:val="04A0" w:firstRow="1" w:lastRow="0" w:firstColumn="1" w:lastColumn="0" w:noHBand="0" w:noVBand="1"/>
      </w:tblPr>
      <w:tblGrid>
        <w:gridCol w:w="2132"/>
        <w:gridCol w:w="1984"/>
        <w:gridCol w:w="2258"/>
        <w:gridCol w:w="1932"/>
      </w:tblGrid>
      <w:tr w:rsidR="00C33E09" w14:paraId="1649E911" w14:textId="77777777" w:rsidTr="00F618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top"/>
          </w:tcPr>
          <w:p w14:paraId="47AC5E79" w14:textId="77777777" w:rsidR="00C33E09" w:rsidRPr="00AC4B8D" w:rsidRDefault="00C33E09" w:rsidP="00494E25">
            <w:pPr>
              <w:pStyle w:val="TableauSchmaOrganigrammealignementgauche"/>
            </w:pPr>
            <w:r w:rsidRPr="00AC4B8D">
              <w:t>Bénéficiaires</w:t>
            </w:r>
          </w:p>
        </w:tc>
        <w:tc>
          <w:tcPr>
            <w:tcW w:w="0" w:type="auto"/>
            <w:vAlign w:val="top"/>
          </w:tcPr>
          <w:p w14:paraId="3AB1295D" w14:textId="77777777" w:rsidR="00C33E09" w:rsidRPr="00AC4B8D" w:rsidRDefault="00C33E09"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AC4B8D">
              <w:t>Rayonnement cumulé</w:t>
            </w:r>
          </w:p>
        </w:tc>
        <w:tc>
          <w:tcPr>
            <w:tcW w:w="0" w:type="auto"/>
            <w:vAlign w:val="top"/>
          </w:tcPr>
          <w:p w14:paraId="398CB3B8" w14:textId="77777777" w:rsidR="00C33E09" w:rsidRPr="00AC4B8D" w:rsidRDefault="00C33E09"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AC4B8D">
              <w:t>Nombre de services créés</w:t>
            </w:r>
          </w:p>
        </w:tc>
        <w:tc>
          <w:tcPr>
            <w:tcW w:w="0" w:type="auto"/>
            <w:vAlign w:val="top"/>
          </w:tcPr>
          <w:p w14:paraId="65D77900" w14:textId="77777777" w:rsidR="00C33E09" w:rsidRPr="00AC4B8D" w:rsidRDefault="00C33E09" w:rsidP="00494E25">
            <w:pPr>
              <w:pStyle w:val="TableauSchmaOrganigrammealignementgauche"/>
              <w:cnfStyle w:val="100000000000" w:firstRow="1" w:lastRow="0" w:firstColumn="0" w:lastColumn="0" w:oddVBand="0" w:evenVBand="0" w:oddHBand="0" w:evenHBand="0" w:firstRowFirstColumn="0" w:firstRowLastColumn="0" w:lastRowFirstColumn="0" w:lastRowLastColumn="0"/>
            </w:pPr>
            <w:r w:rsidRPr="00AC4B8D">
              <w:t>Rayonnement moyen</w:t>
            </w:r>
          </w:p>
        </w:tc>
      </w:tr>
      <w:tr w:rsidR="00C33E09" w14:paraId="5C87CF4D"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2C7EF284" w14:textId="77777777" w:rsidR="00C33E09" w:rsidRPr="00AC4B8D" w:rsidRDefault="00C33E09" w:rsidP="00494E25">
            <w:pPr>
              <w:pStyle w:val="TableauSchmaOrganigrammealignementgauche"/>
            </w:pPr>
            <w:r w:rsidRPr="00AC4B8D">
              <w:t xml:space="preserve">Opérateurs </w:t>
            </w:r>
            <w:r>
              <w:t>publics</w:t>
            </w:r>
          </w:p>
        </w:tc>
        <w:tc>
          <w:tcPr>
            <w:tcW w:w="0" w:type="auto"/>
            <w:vAlign w:val="top"/>
          </w:tcPr>
          <w:p w14:paraId="1D2A746B"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101</w:t>
            </w:r>
            <w:r>
              <w:t>6</w:t>
            </w:r>
          </w:p>
        </w:tc>
        <w:tc>
          <w:tcPr>
            <w:tcW w:w="0" w:type="auto"/>
            <w:vAlign w:val="top"/>
          </w:tcPr>
          <w:p w14:paraId="00C0E4C6"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2</w:t>
            </w:r>
            <w:r>
              <w:t>7</w:t>
            </w:r>
          </w:p>
        </w:tc>
        <w:tc>
          <w:tcPr>
            <w:tcW w:w="0" w:type="auto"/>
            <w:vAlign w:val="top"/>
          </w:tcPr>
          <w:p w14:paraId="03152061"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3</w:t>
            </w:r>
            <w:r>
              <w:t>8</w:t>
            </w:r>
          </w:p>
        </w:tc>
      </w:tr>
      <w:tr w:rsidR="00C33E09" w14:paraId="6FB3C2E7"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6128ACCD" w14:textId="77777777" w:rsidR="00C33E09" w:rsidRPr="00AC4B8D" w:rsidRDefault="00C33E09" w:rsidP="00494E25">
            <w:pPr>
              <w:pStyle w:val="TableauSchmaOrganigrammealignementgauche"/>
            </w:pPr>
            <w:r w:rsidRPr="00AC4B8D">
              <w:t>Bureaux d'études</w:t>
            </w:r>
          </w:p>
        </w:tc>
        <w:tc>
          <w:tcPr>
            <w:tcW w:w="0" w:type="auto"/>
            <w:vAlign w:val="top"/>
          </w:tcPr>
          <w:p w14:paraId="707A0E4F"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937</w:t>
            </w:r>
          </w:p>
        </w:tc>
        <w:tc>
          <w:tcPr>
            <w:tcW w:w="0" w:type="auto"/>
            <w:vAlign w:val="top"/>
          </w:tcPr>
          <w:p w14:paraId="1583E4BD"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27</w:t>
            </w:r>
          </w:p>
        </w:tc>
        <w:tc>
          <w:tcPr>
            <w:tcW w:w="0" w:type="auto"/>
            <w:vAlign w:val="top"/>
          </w:tcPr>
          <w:p w14:paraId="7FEAD9D5"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35</w:t>
            </w:r>
          </w:p>
        </w:tc>
      </w:tr>
      <w:tr w:rsidR="00C33E09" w14:paraId="5768C40F"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5E4901F1" w14:textId="77777777" w:rsidR="00C33E09" w:rsidRPr="00AC4B8D" w:rsidRDefault="00C33E09" w:rsidP="00494E25">
            <w:pPr>
              <w:pStyle w:val="TableauSchmaOrganigrammealignementgauche"/>
            </w:pPr>
            <w:r w:rsidRPr="00AC4B8D">
              <w:t>Collectivités territoriales</w:t>
            </w:r>
          </w:p>
        </w:tc>
        <w:tc>
          <w:tcPr>
            <w:tcW w:w="0" w:type="auto"/>
            <w:vAlign w:val="top"/>
          </w:tcPr>
          <w:p w14:paraId="31DC554A"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4</w:t>
            </w:r>
            <w:r>
              <w:t>68</w:t>
            </w:r>
          </w:p>
        </w:tc>
        <w:tc>
          <w:tcPr>
            <w:tcW w:w="0" w:type="auto"/>
            <w:vAlign w:val="top"/>
          </w:tcPr>
          <w:p w14:paraId="6CC0D072"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2</w:t>
            </w:r>
            <w:r>
              <w:t>2</w:t>
            </w:r>
          </w:p>
        </w:tc>
        <w:tc>
          <w:tcPr>
            <w:tcW w:w="0" w:type="auto"/>
            <w:vAlign w:val="top"/>
          </w:tcPr>
          <w:p w14:paraId="3C099A14"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2</w:t>
            </w:r>
            <w:r>
              <w:t>1</w:t>
            </w:r>
          </w:p>
        </w:tc>
      </w:tr>
      <w:tr w:rsidR="00C33E09" w14:paraId="10553FCC"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693668A3" w14:textId="77777777" w:rsidR="00C33E09" w:rsidRPr="00AC4B8D" w:rsidRDefault="00C33E09" w:rsidP="00494E25">
            <w:pPr>
              <w:pStyle w:val="TableauSchmaOrganigrammealignementgauche"/>
            </w:pPr>
            <w:r w:rsidRPr="00AC4B8D">
              <w:t>Acteurs économiques</w:t>
            </w:r>
          </w:p>
        </w:tc>
        <w:tc>
          <w:tcPr>
            <w:tcW w:w="0" w:type="auto"/>
            <w:vAlign w:val="top"/>
          </w:tcPr>
          <w:p w14:paraId="67591259"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t>402</w:t>
            </w:r>
          </w:p>
        </w:tc>
        <w:tc>
          <w:tcPr>
            <w:tcW w:w="0" w:type="auto"/>
            <w:vAlign w:val="top"/>
          </w:tcPr>
          <w:p w14:paraId="5F21D811"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1</w:t>
            </w:r>
            <w:r>
              <w:t>8</w:t>
            </w:r>
          </w:p>
        </w:tc>
        <w:tc>
          <w:tcPr>
            <w:tcW w:w="0" w:type="auto"/>
            <w:vAlign w:val="top"/>
          </w:tcPr>
          <w:p w14:paraId="306AE80E"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t>21</w:t>
            </w:r>
          </w:p>
        </w:tc>
      </w:tr>
      <w:tr w:rsidR="00C33E09" w14:paraId="2F968B56"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317D3F5D" w14:textId="77777777" w:rsidR="00C33E09" w:rsidRPr="00AC4B8D" w:rsidRDefault="00C33E09" w:rsidP="00494E25">
            <w:pPr>
              <w:pStyle w:val="TableauSchmaOrganigrammealignementgauche"/>
            </w:pPr>
            <w:r w:rsidRPr="00AC4B8D">
              <w:t>Particuliers</w:t>
            </w:r>
          </w:p>
        </w:tc>
        <w:tc>
          <w:tcPr>
            <w:tcW w:w="0" w:type="auto"/>
            <w:vAlign w:val="top"/>
          </w:tcPr>
          <w:p w14:paraId="2CF4ACDA"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247</w:t>
            </w:r>
          </w:p>
        </w:tc>
        <w:tc>
          <w:tcPr>
            <w:tcW w:w="0" w:type="auto"/>
            <w:vAlign w:val="top"/>
          </w:tcPr>
          <w:p w14:paraId="4197E769"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6</w:t>
            </w:r>
          </w:p>
        </w:tc>
        <w:tc>
          <w:tcPr>
            <w:tcW w:w="0" w:type="auto"/>
            <w:vAlign w:val="top"/>
          </w:tcPr>
          <w:p w14:paraId="7B95742B"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41</w:t>
            </w:r>
          </w:p>
        </w:tc>
      </w:tr>
      <w:tr w:rsidR="00C33E09" w14:paraId="58ECBDAE" w14:textId="77777777" w:rsidTr="00F61836">
        <w:tc>
          <w:tcPr>
            <w:cnfStyle w:val="001000000000" w:firstRow="0" w:lastRow="0" w:firstColumn="1" w:lastColumn="0" w:oddVBand="0" w:evenVBand="0" w:oddHBand="0" w:evenHBand="0" w:firstRowFirstColumn="0" w:firstRowLastColumn="0" w:lastRowFirstColumn="0" w:lastRowLastColumn="0"/>
            <w:tcW w:w="0" w:type="auto"/>
            <w:vAlign w:val="top"/>
          </w:tcPr>
          <w:p w14:paraId="3D6C2381" w14:textId="77777777" w:rsidR="00C33E09" w:rsidRPr="00AC4B8D" w:rsidRDefault="00C33E09" w:rsidP="00494E25">
            <w:pPr>
              <w:pStyle w:val="TableauSchmaOrganigrammealignementgauche"/>
            </w:pPr>
            <w:r w:rsidRPr="00AC4B8D">
              <w:t>Enseignants</w:t>
            </w:r>
          </w:p>
        </w:tc>
        <w:tc>
          <w:tcPr>
            <w:tcW w:w="0" w:type="auto"/>
            <w:vAlign w:val="top"/>
          </w:tcPr>
          <w:p w14:paraId="789AEDB7"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235</w:t>
            </w:r>
          </w:p>
        </w:tc>
        <w:tc>
          <w:tcPr>
            <w:tcW w:w="0" w:type="auto"/>
            <w:vAlign w:val="top"/>
          </w:tcPr>
          <w:p w14:paraId="6A9E8E39"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4</w:t>
            </w:r>
          </w:p>
        </w:tc>
        <w:tc>
          <w:tcPr>
            <w:tcW w:w="0" w:type="auto"/>
            <w:vAlign w:val="top"/>
          </w:tcPr>
          <w:p w14:paraId="5FC30D94" w14:textId="77777777" w:rsidR="00C33E09" w:rsidRPr="00AC4B8D" w:rsidRDefault="00C33E09" w:rsidP="00494E25">
            <w:pPr>
              <w:pStyle w:val="TableauSchmaOrganigrammecentr"/>
              <w:cnfStyle w:val="000000000000" w:firstRow="0" w:lastRow="0" w:firstColumn="0" w:lastColumn="0" w:oddVBand="0" w:evenVBand="0" w:oddHBand="0" w:evenHBand="0" w:firstRowFirstColumn="0" w:firstRowLastColumn="0" w:lastRowFirstColumn="0" w:lastRowLastColumn="0"/>
            </w:pPr>
            <w:r w:rsidRPr="00AC4B8D">
              <w:t>59</w:t>
            </w:r>
          </w:p>
        </w:tc>
      </w:tr>
    </w:tbl>
    <w:p w14:paraId="74B67836" w14:textId="7B34730E" w:rsidR="00032054" w:rsidRDefault="00C33E09" w:rsidP="00F61836">
      <w:pPr>
        <w:pStyle w:val="TexteSource"/>
      </w:pPr>
      <w:r>
        <w:t>Source : Cour des comptes. Le rayonnement a été calculé avec l’outil Ubersuggest. Drias Climat et Copernicus ont été écartés de cette analyse.</w:t>
      </w:r>
    </w:p>
    <w:p w14:paraId="6A23DA8B" w14:textId="77777777" w:rsidR="00410DC4" w:rsidRPr="00AC4B8D" w:rsidRDefault="00032054" w:rsidP="00410DC4">
      <w:pPr>
        <w:pStyle w:val="Titregraphique"/>
        <w:spacing w:before="400"/>
      </w:pPr>
      <w:r>
        <w:br w:type="page"/>
      </w:r>
      <w:r w:rsidR="00410DC4">
        <w:lastRenderedPageBreak/>
        <w:t> </w:t>
      </w:r>
      <w:r w:rsidR="00410DC4" w:rsidRPr="003940AF">
        <w:rPr>
          <w:rFonts w:eastAsiaTheme="minorEastAsia"/>
        </w:rPr>
        <w:t xml:space="preserve">rayonnement (en rouge, échelle de gauche) et effectifs (en noir, échelle de droite) des services climatiques en fonction de leur année de mise en service : des portails de données ouvertes (DRIAS Climat en France et </w:t>
      </w:r>
      <w:r w:rsidR="00410DC4">
        <w:rPr>
          <w:rFonts w:eastAsiaTheme="minorEastAsia"/>
        </w:rPr>
        <w:t xml:space="preserve">C3S de </w:t>
      </w:r>
      <w:r w:rsidR="00410DC4" w:rsidRPr="003940AF">
        <w:rPr>
          <w:rFonts w:eastAsiaTheme="minorEastAsia"/>
        </w:rPr>
        <w:t>Copernicus dans l’Union européenne) qui jouent un rôle stratégique.</w:t>
      </w:r>
    </w:p>
    <w:p w14:paraId="7C8405A5" w14:textId="77777777" w:rsidR="00410DC4" w:rsidRDefault="00410DC4" w:rsidP="00410DC4">
      <w:pPr>
        <w:pStyle w:val="Pucetiret"/>
        <w:numPr>
          <w:ilvl w:val="0"/>
          <w:numId w:val="0"/>
        </w:numPr>
        <w:ind w:left="397" w:hanging="199"/>
      </w:pPr>
      <w:r w:rsidRPr="00116DF8">
        <w:rPr>
          <w:noProof/>
        </w:rPr>
        <w:drawing>
          <wp:inline distT="0" distB="0" distL="0" distR="0" wp14:anchorId="09232BF4" wp14:editId="0DBF0BA8">
            <wp:extent cx="3960495" cy="2376170"/>
            <wp:effectExtent l="0" t="0" r="1905" b="5080"/>
            <wp:docPr id="16" name="Graphique 16">
              <a:extLst xmlns:a="http://schemas.openxmlformats.org/drawingml/2006/main">
                <a:ext uri="{FF2B5EF4-FFF2-40B4-BE49-F238E27FC236}">
                  <a16:creationId xmlns:a16="http://schemas.microsoft.com/office/drawing/2014/main" id="{6553C45E-A776-4FD3-AEFD-EE7308FB850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6FD99482" w14:textId="77777777" w:rsidR="00410DC4" w:rsidRPr="0065489F" w:rsidRDefault="00410DC4" w:rsidP="00410DC4">
      <w:pPr>
        <w:pStyle w:val="TexteSource"/>
      </w:pPr>
      <w:r w:rsidRPr="0065489F">
        <w:t>Source : Cour des comptes. Le rayonnement a été calculé avec l’outil Ubersuggest et correspond au nombre de domaines sur le web citant le service concerné.</w:t>
      </w:r>
    </w:p>
    <w:p w14:paraId="7501FE46" w14:textId="77777777" w:rsidR="00032054" w:rsidRDefault="00032054">
      <w:pPr>
        <w:spacing w:before="0" w:after="200" w:line="276" w:lineRule="auto"/>
        <w:ind w:firstLine="0"/>
        <w:jc w:val="left"/>
        <w:rPr>
          <w:rFonts w:eastAsiaTheme="majorEastAsia" w:cstheme="majorBidi"/>
          <w:b/>
          <w:bCs/>
          <w:sz w:val="30"/>
          <w:szCs w:val="28"/>
        </w:rPr>
      </w:pPr>
    </w:p>
    <w:p w14:paraId="3D16C6AC" w14:textId="77777777" w:rsidR="002E4EC0" w:rsidRDefault="002E4EC0">
      <w:pPr>
        <w:spacing w:before="0" w:after="200" w:line="276" w:lineRule="auto"/>
        <w:ind w:firstLine="0"/>
        <w:jc w:val="left"/>
        <w:rPr>
          <w:rFonts w:eastAsiaTheme="majorEastAsia" w:cstheme="majorBidi"/>
          <w:b/>
          <w:bCs/>
          <w:sz w:val="30"/>
          <w:szCs w:val="28"/>
        </w:rPr>
      </w:pPr>
      <w:r>
        <w:br w:type="page"/>
      </w:r>
    </w:p>
    <w:p w14:paraId="3AD9AC4E" w14:textId="23A4B91B" w:rsidR="00971DA3" w:rsidRDefault="00971DA3" w:rsidP="00B2540A">
      <w:pPr>
        <w:pStyle w:val="Titre1"/>
        <w:jc w:val="center"/>
      </w:pPr>
      <w:bookmarkStart w:id="40" w:name="_Toc160528295"/>
      <w:r w:rsidRPr="00971DA3">
        <w:lastRenderedPageBreak/>
        <w:t>Réseau de relations sur le web associés aux services climatiques</w:t>
      </w:r>
      <w:bookmarkEnd w:id="40"/>
    </w:p>
    <w:p w14:paraId="42E61CD6" w14:textId="628F9F28" w:rsidR="00605169" w:rsidRDefault="000172F4" w:rsidP="00971DA3">
      <w:r>
        <w:t xml:space="preserve">L’analyse développée sur les services climatiques intègre une étude de la connectivité entre les acteurs qui s’appuie sur la construction de réseaux web. </w:t>
      </w:r>
      <w:r w:rsidR="00A234A3">
        <w:t xml:space="preserve">Les URL des services climatiques </w:t>
      </w:r>
      <w:r w:rsidR="00115CBD">
        <w:t xml:space="preserve">(et autres acteurs) </w:t>
      </w:r>
      <w:r w:rsidR="00A234A3">
        <w:t>identifiés comme centraux ont servi de points de départ à l’investigation de</w:t>
      </w:r>
      <w:r w:rsidR="002A37BF">
        <w:t>s</w:t>
      </w:r>
      <w:r w:rsidR="00A234A3">
        <w:t xml:space="preserve"> liens</w:t>
      </w:r>
      <w:r w:rsidR="002A37BF">
        <w:t xml:space="preserve"> (web)</w:t>
      </w:r>
      <w:r w:rsidR="00A234A3">
        <w:t xml:space="preserve"> entrants et sortants afin de mesurer le rayonnement et la densité des liens qui unissent les différents acteurs du domaine.</w:t>
      </w:r>
    </w:p>
    <w:p w14:paraId="587045EC" w14:textId="704F5A28" w:rsidR="00A234A3" w:rsidRDefault="00A234A3" w:rsidP="00971DA3">
      <w:r>
        <w:t xml:space="preserve">Les liens entrants ont été </w:t>
      </w:r>
      <w:r w:rsidR="00004C1B" w:rsidRPr="00004C1B">
        <w:t>explorés</w:t>
      </w:r>
      <w:r w:rsidR="00004C1B">
        <w:t xml:space="preserve"> automatiquement</w:t>
      </w:r>
      <w:r w:rsidR="00004C1B" w:rsidRPr="00004C1B">
        <w:t xml:space="preserve"> </w:t>
      </w:r>
      <w:r w:rsidR="00004C1B">
        <w:rPr>
          <w:i/>
        </w:rPr>
        <w:t>(« crawling »)</w:t>
      </w:r>
      <w:r>
        <w:t xml:space="preserve"> grâce à l’outil </w:t>
      </w:r>
      <w:hyperlink r:id="rId51" w:history="1">
        <w:r w:rsidRPr="00065158">
          <w:rPr>
            <w:rStyle w:val="Lienhypertexte"/>
          </w:rPr>
          <w:t>Ubersuggest</w:t>
        </w:r>
      </w:hyperlink>
      <w:r>
        <w:t xml:space="preserve"> </w:t>
      </w:r>
      <w:r w:rsidR="00004C1B">
        <w:t xml:space="preserve">en se limitant aux services climatiques, aux laboratoires spécialisés dans la recherche pour l’adaptation </w:t>
      </w:r>
      <w:r w:rsidR="00971DA3">
        <w:t>identifiés par la Cour dans le cadre de son analyse des citations d</w:t>
      </w:r>
      <w:r w:rsidR="00336556">
        <w:t>u</w:t>
      </w:r>
      <w:r w:rsidR="00971DA3">
        <w:t xml:space="preserve"> GIEC </w:t>
      </w:r>
      <w:r w:rsidR="00004C1B">
        <w:t>ainsi qu</w:t>
      </w:r>
      <w:r w:rsidR="00971DA3">
        <w:t>’aux</w:t>
      </w:r>
      <w:r w:rsidR="00004C1B">
        <w:t xml:space="preserve"> groupes régionaux d’experts sur l’évolution du climat. Cette approche permet de </w:t>
      </w:r>
      <w:r>
        <w:t xml:space="preserve">limiter la remontée de sites </w:t>
      </w:r>
      <w:r w:rsidR="00004C1B">
        <w:t xml:space="preserve">web </w:t>
      </w:r>
      <w:r>
        <w:t>peu pertinents</w:t>
      </w:r>
      <w:r w:rsidR="00004C1B">
        <w:t xml:space="preserve"> en lien avec le sujet de l’enquête. Un paramétrage ciblé sur des URL spécifique a été employé car certains services climatiques, dont certains portés par Météo-France, sont directement adossés à un URL générique qui n’est pas spécifique aux enjeux d’adaptation.</w:t>
      </w:r>
    </w:p>
    <w:p w14:paraId="3A2C884B" w14:textId="020FE318" w:rsidR="00A234A3" w:rsidRDefault="00A234A3" w:rsidP="00971DA3">
      <w:r>
        <w:t xml:space="preserve">Les liens sortants ont </w:t>
      </w:r>
      <w:r w:rsidRPr="00004C1B">
        <w:t xml:space="preserve">été </w:t>
      </w:r>
      <w:r w:rsidR="00004C1B" w:rsidRPr="00004C1B">
        <w:t xml:space="preserve">explorés </w:t>
      </w:r>
      <w:r w:rsidR="00004C1B">
        <w:t>automatiquement</w:t>
      </w:r>
      <w:r w:rsidR="00004C1B" w:rsidRPr="00004C1B">
        <w:t xml:space="preserve"> g</w:t>
      </w:r>
      <w:r w:rsidRPr="00004C1B">
        <w:t>râce</w:t>
      </w:r>
      <w:r>
        <w:t xml:space="preserve"> à l’outil </w:t>
      </w:r>
      <w:hyperlink r:id="rId52" w:history="1">
        <w:r w:rsidRPr="00065158">
          <w:rPr>
            <w:rStyle w:val="Lienhypertexte"/>
          </w:rPr>
          <w:t>Hyphe</w:t>
        </w:r>
      </w:hyperlink>
      <w:r>
        <w:t xml:space="preserve"> développé par le Médialab de Sciences Po</w:t>
      </w:r>
      <w:r w:rsidR="00971DA3">
        <w:t>. Cet outil a été employés</w:t>
      </w:r>
      <w:r>
        <w:t xml:space="preserve"> pour </w:t>
      </w:r>
      <w:r w:rsidR="00971DA3">
        <w:t>les trois types d’entités précédemment identifiées ainsi que pour trois groupes d’acteurs complémentaires : opérateurs publics, collectivités territoriales et bureaux d’études. L’identification de ces acteurs s’est notamment appuyée sur la cartographie des acteurs proposée par le centre de ressource pour l’adaptation porté par le MTE.</w:t>
      </w:r>
    </w:p>
    <w:p w14:paraId="57B6CF55" w14:textId="5C7018F5" w:rsidR="00115CBD" w:rsidRDefault="009C697D" w:rsidP="00971DA3">
      <w:r>
        <w:t>L</w:t>
      </w:r>
      <w:r w:rsidR="00115CBD">
        <w:t xml:space="preserve">es deux informations ont </w:t>
      </w:r>
      <w:r>
        <w:t xml:space="preserve">enfin </w:t>
      </w:r>
      <w:r w:rsidR="00115CBD">
        <w:t xml:space="preserve">été rassemblées afin de </w:t>
      </w:r>
      <w:r w:rsidR="000E6D82">
        <w:t>reconstituer</w:t>
      </w:r>
      <w:r w:rsidR="00115CBD">
        <w:t xml:space="preserve"> la connectivité qui lie les services climatiques et les acteurs </w:t>
      </w:r>
      <w:r w:rsidR="000E6D82">
        <w:t xml:space="preserve">(laboratoires, </w:t>
      </w:r>
      <w:r>
        <w:t xml:space="preserve">GREC, </w:t>
      </w:r>
      <w:r w:rsidR="000E6D82">
        <w:t>collectivités territoriales, acteurs publiques</w:t>
      </w:r>
      <w:r>
        <w:t xml:space="preserve">, </w:t>
      </w:r>
      <w:r w:rsidR="00213B5F">
        <w:t>bureaux</w:t>
      </w:r>
      <w:r>
        <w:t xml:space="preserve"> d’études</w:t>
      </w:r>
      <w:r w:rsidR="000E6D82">
        <w:t xml:space="preserve">) </w:t>
      </w:r>
      <w:r w:rsidR="00115CBD">
        <w:t>de l’écosystème</w:t>
      </w:r>
      <w:r w:rsidR="000E6D82">
        <w:t xml:space="preserve">. Au regard </w:t>
      </w:r>
      <w:r>
        <w:t>de la taille du réseau obtenu qui comporte également de nombreux sites web non directement liés à l’enquête</w:t>
      </w:r>
      <w:r w:rsidR="000E6D82">
        <w:t>,</w:t>
      </w:r>
      <w:r>
        <w:t xml:space="preserve"> l’</w:t>
      </w:r>
      <w:r w:rsidR="000E6D82">
        <w:t xml:space="preserve">analyse </w:t>
      </w:r>
      <w:r>
        <w:t>a été ensuite</w:t>
      </w:r>
      <w:r w:rsidR="000E6D82">
        <w:t xml:space="preserve"> focalisée sur la plus grande composante </w:t>
      </w:r>
      <w:r>
        <w:t xml:space="preserve">fortement </w:t>
      </w:r>
      <w:r w:rsidR="000E6D82">
        <w:t>connex</w:t>
      </w:r>
      <w:r w:rsidR="002A37BF">
        <w:t>e</w:t>
      </w:r>
      <w:r>
        <w:t xml:space="preserve"> du réseau dirigé</w:t>
      </w:r>
      <w:r>
        <w:rPr>
          <w:rStyle w:val="Appelnotedebasdep"/>
        </w:rPr>
        <w:footnoteReference w:id="32"/>
      </w:r>
      <w:r>
        <w:t>. Cette approche permet de cibler l’analyse sur le « cœur » du sujet.</w:t>
      </w:r>
    </w:p>
    <w:p w14:paraId="114936BC" w14:textId="77777777" w:rsidR="009F552D" w:rsidRPr="00A01BDF" w:rsidRDefault="009F552D" w:rsidP="009F552D">
      <w:pPr>
        <w:pStyle w:val="Titregraphique"/>
        <w:spacing w:before="400"/>
      </w:pPr>
      <w:r w:rsidRPr="006135BC">
        <w:rPr>
          <w:noProof/>
        </w:rPr>
        <w:lastRenderedPageBreak/>
        <w:drawing>
          <wp:anchor distT="0" distB="0" distL="114300" distR="114300" simplePos="0" relativeHeight="251671552" behindDoc="0" locked="0" layoutInCell="1" allowOverlap="1" wp14:anchorId="7753BA1C" wp14:editId="7222F6B2">
            <wp:simplePos x="0" y="0"/>
            <wp:positionH relativeFrom="margin">
              <wp:align>center</wp:align>
            </wp:positionH>
            <wp:positionV relativeFrom="paragraph">
              <wp:posOffset>428876</wp:posOffset>
            </wp:positionV>
            <wp:extent cx="4925695" cy="4572000"/>
            <wp:effectExtent l="19050" t="19050" r="27305" b="19050"/>
            <wp:wrapTopAndBottom/>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extLst>
                        <a:ext uri="{28A0092B-C50C-407E-A947-70E740481C1C}">
                          <a14:useLocalDpi xmlns:a14="http://schemas.microsoft.com/office/drawing/2010/main" val="0"/>
                        </a:ext>
                      </a:extLst>
                    </a:blip>
                    <a:srcRect t="6499"/>
                    <a:stretch/>
                  </pic:blipFill>
                  <pic:spPr bwMode="auto">
                    <a:xfrm>
                      <a:off x="0" y="0"/>
                      <a:ext cx="4925695" cy="4572000"/>
                    </a:xfrm>
                    <a:prstGeom prst="rect">
                      <a:avLst/>
                    </a:prstGeom>
                    <a:ln>
                      <a:solidFill>
                        <a:schemeClr val="accent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01BDF">
        <w:t xml:space="preserve"> Réseau de relations sur le web </w:t>
      </w:r>
      <w:r>
        <w:t>associés aux services climatiques impliquant les acteurs français</w:t>
      </w:r>
      <w:r w:rsidRPr="00A01BDF">
        <w:t xml:space="preserve"> d</w:t>
      </w:r>
      <w:r>
        <w:t>e la recherche pour l’</w:t>
      </w:r>
      <w:r w:rsidRPr="00A01BDF">
        <w:t>adaptatio</w:t>
      </w:r>
      <w:r>
        <w:t>n</w:t>
      </w:r>
    </w:p>
    <w:p w14:paraId="40C5978C" w14:textId="77777777" w:rsidR="009F552D" w:rsidRDefault="009F552D" w:rsidP="009F552D">
      <w:pPr>
        <w:pStyle w:val="TexteSource"/>
      </w:pPr>
      <w:r w:rsidRPr="00A01BDF">
        <w:t xml:space="preserve">Source : Cour des comptes, d’après les données du web explorées avec es outils Ubersuggest et Hyphe (juin 2023). </w:t>
      </w:r>
      <w:r>
        <w:t>Seul l</w:t>
      </w:r>
      <w:r w:rsidRPr="00A01BDF">
        <w:t>e réseau fortement connexe est ici pris en compte, c’est-à-dire le réseau où chaque acteur peut rejoindre n’importe quel autre acteur en suivant le sens des liens.</w:t>
      </w:r>
    </w:p>
    <w:p w14:paraId="537A5116" w14:textId="77777777" w:rsidR="009F552D" w:rsidRPr="002A37BF" w:rsidRDefault="009F552D" w:rsidP="00971DA3"/>
    <w:p w14:paraId="5F0A14CA" w14:textId="77777777" w:rsidR="00764336" w:rsidRDefault="00764336">
      <w:pPr>
        <w:spacing w:before="0" w:after="200" w:line="276" w:lineRule="auto"/>
        <w:ind w:firstLine="0"/>
        <w:jc w:val="left"/>
        <w:sectPr w:rsidR="00764336" w:rsidSect="002F6BC4">
          <w:pgSz w:w="11906" w:h="16838" w:code="9"/>
          <w:pgMar w:top="1701" w:right="1418" w:bottom="1701" w:left="1418" w:header="567" w:footer="567" w:gutter="0"/>
          <w:cols w:space="708"/>
          <w:docGrid w:linePitch="360"/>
        </w:sectPr>
      </w:pPr>
      <w:r>
        <w:br w:type="page"/>
      </w:r>
    </w:p>
    <w:p w14:paraId="2B8272CF" w14:textId="039E0280" w:rsidR="00F10885" w:rsidRDefault="00F10885" w:rsidP="000F2B93">
      <w:pPr>
        <w:pStyle w:val="Titre1"/>
        <w:jc w:val="center"/>
      </w:pPr>
      <w:bookmarkStart w:id="41" w:name="_Toc160528296"/>
      <w:r>
        <w:lastRenderedPageBreak/>
        <w:t>Laboratoires cités.</w:t>
      </w:r>
      <w:bookmarkEnd w:id="41"/>
    </w:p>
    <w:p w14:paraId="467B267F" w14:textId="77777777" w:rsidR="00F10885" w:rsidRDefault="00F10885" w:rsidP="00F10885">
      <w:pPr>
        <w:pStyle w:val="Titretableau"/>
        <w:spacing w:before="400"/>
      </w:pPr>
      <w:r>
        <w:t> Détail des laboratoires cités.</w:t>
      </w:r>
    </w:p>
    <w:tbl>
      <w:tblPr>
        <w:tblStyle w:val="TABLEAURAPPORTPUBLICANNUEL"/>
        <w:tblW w:w="0" w:type="auto"/>
        <w:tblInd w:w="-737" w:type="dxa"/>
        <w:tblLayout w:type="fixed"/>
        <w:tblLook w:val="04A0" w:firstRow="1" w:lastRow="0" w:firstColumn="1" w:lastColumn="0" w:noHBand="0" w:noVBand="1"/>
      </w:tblPr>
      <w:tblGrid>
        <w:gridCol w:w="1016"/>
        <w:gridCol w:w="1724"/>
        <w:gridCol w:w="2670"/>
        <w:gridCol w:w="2268"/>
        <w:gridCol w:w="2119"/>
      </w:tblGrid>
      <w:tr w:rsidR="00F10885" w:rsidRPr="00195C26" w14:paraId="7F094317" w14:textId="77777777" w:rsidTr="00B25AC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16" w:type="dxa"/>
          </w:tcPr>
          <w:p w14:paraId="7D80B1EC" w14:textId="77777777" w:rsidR="00F10885" w:rsidRPr="00294A3F" w:rsidRDefault="00F10885" w:rsidP="00B25AC8">
            <w:pPr>
              <w:pStyle w:val="TableauSchmaOrganigrammealignementgauche"/>
              <w:rPr>
                <w:b w:val="0"/>
                <w:i w:val="0"/>
                <w:sz w:val="22"/>
              </w:rPr>
            </w:pPr>
            <w:r>
              <w:rPr>
                <w:sz w:val="22"/>
              </w:rPr>
              <w:t>Sigle</w:t>
            </w:r>
          </w:p>
        </w:tc>
        <w:tc>
          <w:tcPr>
            <w:tcW w:w="1724" w:type="dxa"/>
          </w:tcPr>
          <w:p w14:paraId="4D369821" w14:textId="77777777" w:rsidR="00F10885" w:rsidRPr="00195C26" w:rsidRDefault="00F10885" w:rsidP="00B25AC8">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Pr>
                <w:sz w:val="22"/>
              </w:rPr>
              <w:t>Nom</w:t>
            </w:r>
          </w:p>
        </w:tc>
        <w:tc>
          <w:tcPr>
            <w:tcW w:w="2670" w:type="dxa"/>
          </w:tcPr>
          <w:p w14:paraId="42770B52" w14:textId="77777777" w:rsidR="00F10885" w:rsidRPr="00195C26" w:rsidRDefault="00F10885" w:rsidP="00B25AC8">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Pr>
                <w:sz w:val="22"/>
              </w:rPr>
              <w:t>Établissements auxquels le laboratoire est rattaché</w:t>
            </w:r>
          </w:p>
        </w:tc>
        <w:tc>
          <w:tcPr>
            <w:tcW w:w="2268" w:type="dxa"/>
          </w:tcPr>
          <w:p w14:paraId="6BFA20C1" w14:textId="77777777" w:rsidR="00F10885" w:rsidRDefault="00F10885" w:rsidP="00B25AC8">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sidRPr="00260FD8">
              <w:rPr>
                <w:sz w:val="22"/>
              </w:rPr>
              <w:t>Nombre de</w:t>
            </w:r>
            <w:r>
              <w:rPr>
                <w:sz w:val="22"/>
              </w:rPr>
              <w:t xml:space="preserve"> </w:t>
            </w:r>
            <w:r w:rsidRPr="00260FD8">
              <w:rPr>
                <w:sz w:val="22"/>
              </w:rPr>
              <w:t xml:space="preserve">publications </w:t>
            </w:r>
            <w:r>
              <w:rPr>
                <w:sz w:val="22"/>
              </w:rPr>
              <w:t>citées par le GIEC (ensemble des groupes)</w:t>
            </w:r>
          </w:p>
        </w:tc>
        <w:tc>
          <w:tcPr>
            <w:tcW w:w="2119" w:type="dxa"/>
          </w:tcPr>
          <w:p w14:paraId="75C76F64" w14:textId="77777777" w:rsidR="00F10885" w:rsidRDefault="00F10885" w:rsidP="00B25AC8">
            <w:pPr>
              <w:pStyle w:val="TableauSchmaOrganigrammealignementgauche"/>
              <w:cnfStyle w:val="100000000000" w:firstRow="1" w:lastRow="0" w:firstColumn="0" w:lastColumn="0" w:oddVBand="0" w:evenVBand="0" w:oddHBand="0" w:evenHBand="0" w:firstRowFirstColumn="0" w:firstRowLastColumn="0" w:lastRowFirstColumn="0" w:lastRowLastColumn="0"/>
              <w:rPr>
                <w:sz w:val="22"/>
              </w:rPr>
            </w:pPr>
            <w:r>
              <w:rPr>
                <w:sz w:val="22"/>
              </w:rPr>
              <w:t xml:space="preserve">Groupe du GIEC qui cite le plus le laboratoire </w:t>
            </w:r>
            <w:r>
              <w:rPr>
                <w:sz w:val="22"/>
              </w:rPr>
              <w:br/>
              <w:t>(indice de spécialisation)</w:t>
            </w:r>
          </w:p>
        </w:tc>
      </w:tr>
      <w:tr w:rsidR="00F10885" w:rsidRPr="00195C26" w14:paraId="26E74FC7"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215FBBA0" w14:textId="77777777" w:rsidR="00F10885" w:rsidRPr="00195C26" w:rsidRDefault="00F10885" w:rsidP="00B25AC8">
            <w:pPr>
              <w:pStyle w:val="TableauSchmaOrganigrammealignementgauche"/>
              <w:rPr>
                <w:sz w:val="22"/>
              </w:rPr>
            </w:pPr>
            <w:r w:rsidRPr="006A14EA">
              <w:t>LSCE</w:t>
            </w:r>
          </w:p>
        </w:tc>
        <w:tc>
          <w:tcPr>
            <w:tcW w:w="1724" w:type="dxa"/>
            <w:vAlign w:val="top"/>
          </w:tcPr>
          <w:p w14:paraId="70AD9CBF" w14:textId="77777777" w:rsidR="00F10885" w:rsidRPr="00CD4324"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749DF">
              <w:t>Laboratoire des Sciences du Climat et de l'Environnement</w:t>
            </w:r>
          </w:p>
        </w:tc>
        <w:tc>
          <w:tcPr>
            <w:tcW w:w="2670" w:type="dxa"/>
          </w:tcPr>
          <w:p w14:paraId="4F63515C"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CEA***</w:t>
            </w:r>
          </w:p>
          <w:p w14:paraId="30350792"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CNR</w:t>
            </w:r>
            <w:r>
              <w:t>S**</w:t>
            </w:r>
          </w:p>
          <w:p w14:paraId="7D703B03"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 xml:space="preserve">U. </w:t>
            </w:r>
            <w:r w:rsidRPr="001B542A">
              <w:t>Versailles</w:t>
            </w:r>
            <w:r>
              <w:t>**</w:t>
            </w:r>
          </w:p>
          <w:p w14:paraId="5594CD29" w14:textId="77777777" w:rsidR="00F10885" w:rsidRPr="00EC5A3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U</w:t>
            </w:r>
            <w:r>
              <w:t>.</w:t>
            </w:r>
            <w:r w:rsidRPr="001B542A">
              <w:t xml:space="preserve"> Paris-Saclay</w:t>
            </w:r>
            <w:r>
              <w:t>*</w:t>
            </w:r>
          </w:p>
        </w:tc>
        <w:tc>
          <w:tcPr>
            <w:tcW w:w="2268" w:type="dxa"/>
          </w:tcPr>
          <w:p w14:paraId="488F8D76"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C70DCE">
              <w:t>632</w:t>
            </w:r>
          </w:p>
        </w:tc>
        <w:tc>
          <w:tcPr>
            <w:tcW w:w="2119" w:type="dxa"/>
          </w:tcPr>
          <w:p w14:paraId="4632D377"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B30338">
              <w:t>1</w:t>
            </w:r>
          </w:p>
        </w:tc>
      </w:tr>
      <w:tr w:rsidR="00F10885" w:rsidRPr="00195C26" w14:paraId="0654F389"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12EC4D14" w14:textId="77777777" w:rsidR="00F10885" w:rsidRDefault="00F10885" w:rsidP="00B25AC8">
            <w:pPr>
              <w:pStyle w:val="TableauSchmaOrganigrammealignementgauche"/>
              <w:rPr>
                <w:sz w:val="22"/>
              </w:rPr>
            </w:pPr>
            <w:r w:rsidRPr="006A14EA">
              <w:t>LOCEAN</w:t>
            </w:r>
          </w:p>
        </w:tc>
        <w:tc>
          <w:tcPr>
            <w:tcW w:w="1724" w:type="dxa"/>
            <w:vAlign w:val="top"/>
          </w:tcPr>
          <w:p w14:paraId="0E55AC32" w14:textId="77777777" w:rsidR="00F10885" w:rsidRPr="00CD4324"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0749DF">
              <w:t>Laboratoire d'Océanographie et du Climat : Expérimentations et Approches Numériques</w:t>
            </w:r>
          </w:p>
        </w:tc>
        <w:tc>
          <w:tcPr>
            <w:tcW w:w="2670" w:type="dxa"/>
          </w:tcPr>
          <w:p w14:paraId="07BBA8EC"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Sorbonne U.</w:t>
            </w:r>
            <w:r>
              <w:t>***</w:t>
            </w:r>
          </w:p>
          <w:p w14:paraId="454C2666"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CNRS</w:t>
            </w:r>
            <w:r>
              <w:t>**</w:t>
            </w:r>
          </w:p>
          <w:p w14:paraId="1569E788"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Museum Paris</w:t>
            </w:r>
            <w:r>
              <w:t>**</w:t>
            </w:r>
          </w:p>
          <w:p w14:paraId="1AE40308"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1B542A">
              <w:t>IRD</w:t>
            </w:r>
            <w:r>
              <w:t>**</w:t>
            </w:r>
          </w:p>
        </w:tc>
        <w:tc>
          <w:tcPr>
            <w:tcW w:w="2268" w:type="dxa"/>
          </w:tcPr>
          <w:p w14:paraId="38550D58"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C70DCE">
              <w:t>266</w:t>
            </w:r>
          </w:p>
        </w:tc>
        <w:tc>
          <w:tcPr>
            <w:tcW w:w="2119" w:type="dxa"/>
          </w:tcPr>
          <w:p w14:paraId="31EDAEBA"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B30338">
              <w:t>1</w:t>
            </w:r>
          </w:p>
        </w:tc>
      </w:tr>
      <w:tr w:rsidR="00F10885" w:rsidRPr="00195C26" w14:paraId="1362AD4A"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040F79B5" w14:textId="77777777" w:rsidR="00F10885" w:rsidRPr="005D0776" w:rsidRDefault="00F10885" w:rsidP="00B25AC8">
            <w:pPr>
              <w:pStyle w:val="TableauSchmaOrganigrammealignementgauche"/>
              <w:rPr>
                <w:sz w:val="22"/>
                <w:lang w:val="en-US"/>
              </w:rPr>
            </w:pPr>
            <w:r w:rsidRPr="006A14EA">
              <w:t>LMD</w:t>
            </w:r>
          </w:p>
        </w:tc>
        <w:tc>
          <w:tcPr>
            <w:tcW w:w="1724" w:type="dxa"/>
            <w:vAlign w:val="top"/>
          </w:tcPr>
          <w:p w14:paraId="60BCCB4D" w14:textId="77777777" w:rsidR="00F10885" w:rsidRPr="00195C26"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Laboratoire de Météorologie Dynamique</w:t>
            </w:r>
          </w:p>
        </w:tc>
        <w:tc>
          <w:tcPr>
            <w:tcW w:w="2670" w:type="dxa"/>
          </w:tcPr>
          <w:p w14:paraId="45D02BCE"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ENS P</w:t>
            </w:r>
            <w:r>
              <w:t>aris***</w:t>
            </w:r>
          </w:p>
          <w:p w14:paraId="5E2D47B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CNRS</w:t>
            </w:r>
            <w:r>
              <w:t>**</w:t>
            </w:r>
          </w:p>
          <w:p w14:paraId="0A251512"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Éc</w:t>
            </w:r>
            <w:r>
              <w:t>ole</w:t>
            </w:r>
            <w:r w:rsidRPr="001B542A">
              <w:t xml:space="preserve"> Polytechnique</w:t>
            </w:r>
            <w:r>
              <w:t>**</w:t>
            </w:r>
          </w:p>
          <w:p w14:paraId="4BA601FF"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IP PARIS</w:t>
            </w:r>
            <w:r>
              <w:t>**</w:t>
            </w:r>
          </w:p>
          <w:p w14:paraId="3AA75ECA"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PSL</w:t>
            </w:r>
            <w:r>
              <w:t xml:space="preserve"> U.**</w:t>
            </w:r>
          </w:p>
          <w:p w14:paraId="41EC4C5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Sorbonne U.</w:t>
            </w:r>
            <w:r>
              <w:t>**</w:t>
            </w:r>
          </w:p>
          <w:p w14:paraId="21398118"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1B542A">
              <w:t>ENPC</w:t>
            </w:r>
            <w:r>
              <w:t>*</w:t>
            </w:r>
          </w:p>
        </w:tc>
        <w:tc>
          <w:tcPr>
            <w:tcW w:w="2268" w:type="dxa"/>
          </w:tcPr>
          <w:p w14:paraId="361A473E"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C70DCE">
              <w:t>223</w:t>
            </w:r>
          </w:p>
        </w:tc>
        <w:tc>
          <w:tcPr>
            <w:tcW w:w="2119" w:type="dxa"/>
          </w:tcPr>
          <w:p w14:paraId="292BE0FA"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B30338">
              <w:t>1</w:t>
            </w:r>
          </w:p>
        </w:tc>
      </w:tr>
      <w:tr w:rsidR="00F10885" w:rsidRPr="00195C26" w14:paraId="7D9711CE"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4B9EBAE3" w14:textId="77777777" w:rsidR="00F10885" w:rsidRPr="00195C26" w:rsidRDefault="00F10885" w:rsidP="00B25AC8">
            <w:pPr>
              <w:pStyle w:val="TableauSchmaOrganigrammealignementgauche"/>
              <w:rPr>
                <w:sz w:val="22"/>
              </w:rPr>
            </w:pPr>
            <w:r w:rsidRPr="006A14EA">
              <w:t>CNRM</w:t>
            </w:r>
          </w:p>
        </w:tc>
        <w:tc>
          <w:tcPr>
            <w:tcW w:w="1724" w:type="dxa"/>
            <w:vAlign w:val="top"/>
          </w:tcPr>
          <w:p w14:paraId="2374697D" w14:textId="77777777" w:rsidR="00F10885" w:rsidRPr="00195C26"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Centre</w:t>
            </w:r>
            <w:r>
              <w:t> N</w:t>
            </w:r>
            <w:r w:rsidRPr="000749DF">
              <w:t xml:space="preserve">ational de </w:t>
            </w:r>
            <w:r>
              <w:t>R</w:t>
            </w:r>
            <w:r w:rsidRPr="000749DF">
              <w:t xml:space="preserve">echerches </w:t>
            </w:r>
            <w:r>
              <w:t>M</w:t>
            </w:r>
            <w:r w:rsidRPr="000749DF">
              <w:t>étéorologiques</w:t>
            </w:r>
          </w:p>
        </w:tc>
        <w:tc>
          <w:tcPr>
            <w:tcW w:w="2670" w:type="dxa"/>
          </w:tcPr>
          <w:p w14:paraId="43FF9DC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M</w:t>
            </w:r>
            <w:r>
              <w:t>étéo France***</w:t>
            </w:r>
          </w:p>
          <w:p w14:paraId="4054AC11"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CNRS</w:t>
            </w:r>
            <w:r>
              <w:t>**</w:t>
            </w:r>
          </w:p>
          <w:p w14:paraId="0B59DAAD"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p>
        </w:tc>
        <w:tc>
          <w:tcPr>
            <w:tcW w:w="2268" w:type="dxa"/>
          </w:tcPr>
          <w:p w14:paraId="1126D1CD"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C70DCE">
              <w:t>222</w:t>
            </w:r>
          </w:p>
        </w:tc>
        <w:tc>
          <w:tcPr>
            <w:tcW w:w="2119" w:type="dxa"/>
          </w:tcPr>
          <w:p w14:paraId="194B6CBB"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rPr>
            </w:pPr>
            <w:r w:rsidRPr="00B30338">
              <w:t>1</w:t>
            </w:r>
          </w:p>
        </w:tc>
      </w:tr>
      <w:tr w:rsidR="00F10885" w:rsidRPr="00195C26" w14:paraId="12F38524"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2792FDCE" w14:textId="77777777" w:rsidR="00F10885" w:rsidRPr="00195C26" w:rsidRDefault="00F10885" w:rsidP="00B25AC8">
            <w:pPr>
              <w:pStyle w:val="TableauSchmaOrganigrammealignementgauche"/>
              <w:rPr>
                <w:sz w:val="22"/>
              </w:rPr>
            </w:pPr>
            <w:r w:rsidRPr="006A14EA">
              <w:t>IGE</w:t>
            </w:r>
          </w:p>
        </w:tc>
        <w:tc>
          <w:tcPr>
            <w:tcW w:w="1724" w:type="dxa"/>
            <w:vAlign w:val="top"/>
          </w:tcPr>
          <w:p w14:paraId="4D1F85F3"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Institut des Géosciences de l’Environnement</w:t>
            </w:r>
          </w:p>
        </w:tc>
        <w:tc>
          <w:tcPr>
            <w:tcW w:w="2670" w:type="dxa"/>
          </w:tcPr>
          <w:p w14:paraId="4D62AB5F"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 xml:space="preserve">U. </w:t>
            </w:r>
            <w:r w:rsidRPr="00EA25BE">
              <w:rPr>
                <w:lang w:val="en-US"/>
              </w:rPr>
              <w:t>Grenoble Alpes</w:t>
            </w:r>
            <w:r>
              <w:rPr>
                <w:lang w:val="en-US"/>
              </w:rPr>
              <w:t>***</w:t>
            </w:r>
          </w:p>
          <w:p w14:paraId="5D552B29"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EA25BE">
              <w:rPr>
                <w:lang w:val="en-US"/>
              </w:rPr>
              <w:t>CNRS</w:t>
            </w:r>
            <w:r>
              <w:rPr>
                <w:lang w:val="en-US"/>
              </w:rPr>
              <w:t>**</w:t>
            </w:r>
          </w:p>
          <w:p w14:paraId="2765A0F5"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EA25BE">
              <w:rPr>
                <w:lang w:val="en-US"/>
              </w:rPr>
              <w:t>Grenoble I</w:t>
            </w:r>
            <w:r>
              <w:rPr>
                <w:lang w:val="en-US"/>
              </w:rPr>
              <w:t>NP**</w:t>
            </w:r>
          </w:p>
          <w:p w14:paraId="00DCA169"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INRAE**</w:t>
            </w:r>
          </w:p>
          <w:p w14:paraId="2B28FAC9" w14:textId="77777777" w:rsidR="00F10885" w:rsidRPr="00EE3CCE"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IRD**</w:t>
            </w:r>
          </w:p>
        </w:tc>
        <w:tc>
          <w:tcPr>
            <w:tcW w:w="2268" w:type="dxa"/>
          </w:tcPr>
          <w:p w14:paraId="5E29A8FE"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120</w:t>
            </w:r>
          </w:p>
        </w:tc>
        <w:tc>
          <w:tcPr>
            <w:tcW w:w="2119" w:type="dxa"/>
          </w:tcPr>
          <w:p w14:paraId="7F44F18C"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0D5ABA2A"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23478488" w14:textId="77777777" w:rsidR="00F10885" w:rsidRPr="00195C26" w:rsidRDefault="00F10885" w:rsidP="00B25AC8">
            <w:pPr>
              <w:pStyle w:val="TableauSchmaOrganigrammealignementgauche"/>
              <w:rPr>
                <w:sz w:val="22"/>
              </w:rPr>
            </w:pPr>
            <w:r w:rsidRPr="006A14EA">
              <w:t>LATMOS</w:t>
            </w:r>
          </w:p>
        </w:tc>
        <w:tc>
          <w:tcPr>
            <w:tcW w:w="1724" w:type="dxa"/>
            <w:vAlign w:val="top"/>
          </w:tcPr>
          <w:p w14:paraId="09B40FB4"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Laboratoire Atmosphères, Milieux, Observations Spatiales</w:t>
            </w:r>
          </w:p>
        </w:tc>
        <w:tc>
          <w:tcPr>
            <w:tcW w:w="2670" w:type="dxa"/>
          </w:tcPr>
          <w:p w14:paraId="5BCB2C01"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Versailles***</w:t>
            </w:r>
          </w:p>
          <w:p w14:paraId="1C64045F"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44087A7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Sorbonne U.</w:t>
            </w:r>
            <w:r>
              <w:t>**</w:t>
            </w:r>
          </w:p>
          <w:p w14:paraId="144F0BCA"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CNES*</w:t>
            </w:r>
          </w:p>
          <w:p w14:paraId="3783EEB8" w14:textId="77777777" w:rsidR="00F10885" w:rsidRPr="00AA5417"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U</w:t>
            </w:r>
            <w:r>
              <w:t>.</w:t>
            </w:r>
            <w:r w:rsidRPr="001B542A">
              <w:t xml:space="preserve"> Paris-Saclay</w:t>
            </w:r>
            <w:r>
              <w:t>*</w:t>
            </w:r>
          </w:p>
        </w:tc>
        <w:tc>
          <w:tcPr>
            <w:tcW w:w="2268" w:type="dxa"/>
          </w:tcPr>
          <w:p w14:paraId="5B69D45F"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79</w:t>
            </w:r>
          </w:p>
        </w:tc>
        <w:tc>
          <w:tcPr>
            <w:tcW w:w="2119" w:type="dxa"/>
          </w:tcPr>
          <w:p w14:paraId="06051DF3"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4A357AF4"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6CA48A4A" w14:textId="77777777" w:rsidR="00F10885" w:rsidRPr="00195C26" w:rsidRDefault="00F10885" w:rsidP="00B25AC8">
            <w:pPr>
              <w:pStyle w:val="TableauSchmaOrganigrammealignementgauche"/>
              <w:rPr>
                <w:sz w:val="22"/>
              </w:rPr>
            </w:pPr>
            <w:r w:rsidRPr="006A14EA">
              <w:t>LEGOS</w:t>
            </w:r>
          </w:p>
        </w:tc>
        <w:tc>
          <w:tcPr>
            <w:tcW w:w="1724" w:type="dxa"/>
            <w:vAlign w:val="top"/>
          </w:tcPr>
          <w:p w14:paraId="7F5A1916"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Laboratoire d'études en Géophysique et océanographie spatiales</w:t>
            </w:r>
          </w:p>
        </w:tc>
        <w:tc>
          <w:tcPr>
            <w:tcW w:w="2670" w:type="dxa"/>
          </w:tcPr>
          <w:p w14:paraId="3E8169E3"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T</w:t>
            </w:r>
            <w:r>
              <w:t xml:space="preserve">oulouse </w:t>
            </w:r>
            <w:r w:rsidRPr="001B542A">
              <w:t>3</w:t>
            </w:r>
            <w:r>
              <w:t>***</w:t>
            </w:r>
          </w:p>
          <w:p w14:paraId="05C7FDEA"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6464A251"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IRD**</w:t>
            </w:r>
          </w:p>
          <w:p w14:paraId="03B3F2FE" w14:textId="77777777" w:rsidR="00F10885" w:rsidRPr="003C191F"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CNES**</w:t>
            </w:r>
          </w:p>
        </w:tc>
        <w:tc>
          <w:tcPr>
            <w:tcW w:w="2268" w:type="dxa"/>
          </w:tcPr>
          <w:p w14:paraId="297DAD87"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71</w:t>
            </w:r>
          </w:p>
        </w:tc>
        <w:tc>
          <w:tcPr>
            <w:tcW w:w="2119" w:type="dxa"/>
          </w:tcPr>
          <w:p w14:paraId="5576D0CF"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2691AADC"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00BAAFBF" w14:textId="77777777" w:rsidR="00F10885" w:rsidRPr="00195C26" w:rsidRDefault="00F10885" w:rsidP="00B25AC8">
            <w:pPr>
              <w:pStyle w:val="TableauSchmaOrganigrammealignementgauche"/>
              <w:rPr>
                <w:sz w:val="22"/>
              </w:rPr>
            </w:pPr>
            <w:r w:rsidRPr="006A14EA">
              <w:t>CIRED</w:t>
            </w:r>
          </w:p>
        </w:tc>
        <w:tc>
          <w:tcPr>
            <w:tcW w:w="1724" w:type="dxa"/>
            <w:vAlign w:val="top"/>
          </w:tcPr>
          <w:p w14:paraId="14F4E258"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t>C</w:t>
            </w:r>
            <w:r w:rsidRPr="000749DF">
              <w:t xml:space="preserve">entre </w:t>
            </w:r>
            <w:r>
              <w:t>I</w:t>
            </w:r>
            <w:r w:rsidRPr="000749DF">
              <w:t xml:space="preserve">nternational de </w:t>
            </w:r>
            <w:r>
              <w:t>R</w:t>
            </w:r>
            <w:r w:rsidRPr="000749DF">
              <w:t xml:space="preserve">echerche sur </w:t>
            </w:r>
            <w:r w:rsidRPr="000749DF">
              <w:lastRenderedPageBreak/>
              <w:t>l'</w:t>
            </w:r>
            <w:r>
              <w:t>E</w:t>
            </w:r>
            <w:r w:rsidRPr="000749DF">
              <w:t xml:space="preserve">nvironnement et le </w:t>
            </w:r>
            <w:r>
              <w:t>D</w:t>
            </w:r>
            <w:r w:rsidRPr="000749DF">
              <w:t>éveloppement</w:t>
            </w:r>
          </w:p>
        </w:tc>
        <w:tc>
          <w:tcPr>
            <w:tcW w:w="2670" w:type="dxa"/>
          </w:tcPr>
          <w:p w14:paraId="119C070A"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lastRenderedPageBreak/>
              <w:t>ENPC</w:t>
            </w:r>
            <w:r>
              <w:t>***</w:t>
            </w:r>
          </w:p>
          <w:p w14:paraId="29C6CB09"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AgroParisTech**</w:t>
            </w:r>
          </w:p>
          <w:p w14:paraId="4A67E389"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CIRAD**</w:t>
            </w:r>
          </w:p>
          <w:p w14:paraId="0E90D700"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lastRenderedPageBreak/>
              <w:t>CNRS**</w:t>
            </w:r>
          </w:p>
          <w:p w14:paraId="6594DD16"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EHESS</w:t>
            </w:r>
            <w:r>
              <w:t>**</w:t>
            </w:r>
          </w:p>
          <w:p w14:paraId="1AF276C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U</w:t>
            </w:r>
            <w:r>
              <w:t>.</w:t>
            </w:r>
            <w:r w:rsidRPr="001B542A">
              <w:t xml:space="preserve"> Paris-Saclay</w:t>
            </w:r>
            <w:r>
              <w:t>**</w:t>
            </w:r>
          </w:p>
          <w:p w14:paraId="62C36557" w14:textId="77777777" w:rsidR="00F10885" w:rsidRPr="00D7094E"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M</w:t>
            </w:r>
            <w:r>
              <w:t>étéo France*</w:t>
            </w:r>
          </w:p>
        </w:tc>
        <w:tc>
          <w:tcPr>
            <w:tcW w:w="2268" w:type="dxa"/>
          </w:tcPr>
          <w:p w14:paraId="7D13AB85"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lastRenderedPageBreak/>
              <w:t>67</w:t>
            </w:r>
          </w:p>
        </w:tc>
        <w:tc>
          <w:tcPr>
            <w:tcW w:w="2119" w:type="dxa"/>
          </w:tcPr>
          <w:p w14:paraId="76A80340"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3</w:t>
            </w:r>
          </w:p>
        </w:tc>
      </w:tr>
      <w:tr w:rsidR="00F10885" w:rsidRPr="00195C26" w14:paraId="0E79E968"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3D547018" w14:textId="77777777" w:rsidR="00F10885" w:rsidRPr="00195C26" w:rsidRDefault="00F10885" w:rsidP="00B25AC8">
            <w:pPr>
              <w:pStyle w:val="TableauSchmaOrganigrammealignementgauche"/>
              <w:rPr>
                <w:sz w:val="22"/>
              </w:rPr>
            </w:pPr>
            <w:r w:rsidRPr="006A14EA">
              <w:t>CEREGE</w:t>
            </w:r>
          </w:p>
        </w:tc>
        <w:tc>
          <w:tcPr>
            <w:tcW w:w="1724" w:type="dxa"/>
            <w:vAlign w:val="top"/>
          </w:tcPr>
          <w:p w14:paraId="6B5D2F12"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 xml:space="preserve">Centre </w:t>
            </w:r>
            <w:r>
              <w:t>E</w:t>
            </w:r>
            <w:r w:rsidRPr="000749DF">
              <w:t xml:space="preserve">uropéen de </w:t>
            </w:r>
            <w:r>
              <w:t>R</w:t>
            </w:r>
            <w:r w:rsidRPr="000749DF">
              <w:t>echerche et d'</w:t>
            </w:r>
            <w:r>
              <w:t>E</w:t>
            </w:r>
            <w:r w:rsidRPr="000749DF">
              <w:t xml:space="preserve">nseignement des </w:t>
            </w:r>
            <w:r>
              <w:t>G</w:t>
            </w:r>
            <w:r w:rsidRPr="000749DF">
              <w:t>éosciences de l'</w:t>
            </w:r>
            <w:r>
              <w:t>E</w:t>
            </w:r>
            <w:r w:rsidRPr="000749DF">
              <w:t>nvironnement</w:t>
            </w:r>
          </w:p>
        </w:tc>
        <w:tc>
          <w:tcPr>
            <w:tcW w:w="2670" w:type="dxa"/>
          </w:tcPr>
          <w:p w14:paraId="70E3A405"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Aix-Marseille U.***</w:t>
            </w:r>
          </w:p>
          <w:p w14:paraId="681855F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08A6D234"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Collège de France**</w:t>
            </w:r>
          </w:p>
          <w:p w14:paraId="02DAD6D5"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INRAE**</w:t>
            </w:r>
          </w:p>
          <w:p w14:paraId="207056DD"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IRD**</w:t>
            </w:r>
          </w:p>
          <w:p w14:paraId="10C11995" w14:textId="77777777" w:rsidR="00F10885" w:rsidRPr="00463B97"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PSL U.**</w:t>
            </w:r>
          </w:p>
        </w:tc>
        <w:tc>
          <w:tcPr>
            <w:tcW w:w="2268" w:type="dxa"/>
          </w:tcPr>
          <w:p w14:paraId="5AFF2392"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58</w:t>
            </w:r>
          </w:p>
        </w:tc>
        <w:tc>
          <w:tcPr>
            <w:tcW w:w="2119" w:type="dxa"/>
          </w:tcPr>
          <w:p w14:paraId="09048BF5"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4E707C85"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75FC057B" w14:textId="77777777" w:rsidR="00F10885" w:rsidRPr="00195C26" w:rsidRDefault="00F10885" w:rsidP="00B25AC8">
            <w:pPr>
              <w:pStyle w:val="TableauSchmaOrganigrammealignementgauche"/>
              <w:rPr>
                <w:sz w:val="22"/>
              </w:rPr>
            </w:pPr>
            <w:r w:rsidRPr="006A14EA">
              <w:t>LOV</w:t>
            </w:r>
          </w:p>
        </w:tc>
        <w:tc>
          <w:tcPr>
            <w:tcW w:w="1724" w:type="dxa"/>
            <w:vAlign w:val="top"/>
          </w:tcPr>
          <w:p w14:paraId="606B438E"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Laboratoire d'</w:t>
            </w:r>
            <w:r>
              <w:t>O</w:t>
            </w:r>
            <w:r w:rsidRPr="000749DF">
              <w:t>céanographie de Villefranche</w:t>
            </w:r>
          </w:p>
        </w:tc>
        <w:tc>
          <w:tcPr>
            <w:tcW w:w="2670" w:type="dxa"/>
          </w:tcPr>
          <w:p w14:paraId="0E0B92CE"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1B542A">
              <w:t>Sorbonne U.</w:t>
            </w:r>
            <w:r>
              <w:t>***</w:t>
            </w:r>
          </w:p>
          <w:p w14:paraId="6D0B91BF" w14:textId="77777777" w:rsidR="00F10885" w:rsidRPr="00463B97"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tc>
        <w:tc>
          <w:tcPr>
            <w:tcW w:w="2268" w:type="dxa"/>
          </w:tcPr>
          <w:p w14:paraId="6FE32CF7"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47</w:t>
            </w:r>
          </w:p>
        </w:tc>
        <w:tc>
          <w:tcPr>
            <w:tcW w:w="2119" w:type="dxa"/>
          </w:tcPr>
          <w:p w14:paraId="7941052D"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2</w:t>
            </w:r>
          </w:p>
        </w:tc>
      </w:tr>
      <w:tr w:rsidR="00F10885" w:rsidRPr="00195C26" w14:paraId="21C73FBE"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4C65C6D1" w14:textId="77777777" w:rsidR="00F10885" w:rsidRDefault="00F10885" w:rsidP="00B25AC8">
            <w:pPr>
              <w:pStyle w:val="TableauSchmaOrganigrammealignementgauche"/>
              <w:rPr>
                <w:sz w:val="22"/>
              </w:rPr>
            </w:pPr>
            <w:r w:rsidRPr="006A14EA">
              <w:t>MARBEC</w:t>
            </w:r>
          </w:p>
        </w:tc>
        <w:tc>
          <w:tcPr>
            <w:tcW w:w="1724" w:type="dxa"/>
            <w:vAlign w:val="top"/>
          </w:tcPr>
          <w:p w14:paraId="77892B38" w14:textId="77777777" w:rsidR="00F10885" w:rsidRPr="00195C26"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0749DF">
              <w:t>MARine Biodiversity Exploitation and Conservation</w:t>
            </w:r>
          </w:p>
        </w:tc>
        <w:tc>
          <w:tcPr>
            <w:tcW w:w="2670" w:type="dxa"/>
          </w:tcPr>
          <w:p w14:paraId="644C07BD"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Montpellier***</w:t>
            </w:r>
          </w:p>
          <w:p w14:paraId="53D1DC5D" w14:textId="77777777" w:rsidR="00F10885" w:rsidRPr="002D78E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2D78E5">
              <w:rPr>
                <w:lang w:val="en-US"/>
              </w:rPr>
              <w:t>CNRS**</w:t>
            </w:r>
          </w:p>
          <w:p w14:paraId="34FFBB8B"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2D78E5">
              <w:rPr>
                <w:lang w:val="en-US"/>
              </w:rPr>
              <w:t>I</w:t>
            </w:r>
            <w:r>
              <w:rPr>
                <w:lang w:val="en-US"/>
              </w:rPr>
              <w:t>FREMER**</w:t>
            </w:r>
          </w:p>
          <w:p w14:paraId="51CAA294"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INRAE**</w:t>
            </w:r>
          </w:p>
          <w:p w14:paraId="65CBF4DC" w14:textId="77777777" w:rsidR="00F10885" w:rsidRPr="00DA2BE0"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IRD**</w:t>
            </w:r>
          </w:p>
        </w:tc>
        <w:tc>
          <w:tcPr>
            <w:tcW w:w="2268" w:type="dxa"/>
          </w:tcPr>
          <w:p w14:paraId="5C7D87BE"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46</w:t>
            </w:r>
          </w:p>
        </w:tc>
        <w:tc>
          <w:tcPr>
            <w:tcW w:w="2119" w:type="dxa"/>
          </w:tcPr>
          <w:p w14:paraId="56CD6C79"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2</w:t>
            </w:r>
          </w:p>
        </w:tc>
      </w:tr>
      <w:tr w:rsidR="00F10885" w:rsidRPr="00195C26" w14:paraId="469E265C"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73E51112" w14:textId="77777777" w:rsidR="00F10885" w:rsidRPr="00E7482C" w:rsidRDefault="00F10885" w:rsidP="00B25AC8">
            <w:pPr>
              <w:pStyle w:val="TableauSchmaOrganigrammealignementgauche"/>
              <w:rPr>
                <w:sz w:val="22"/>
              </w:rPr>
            </w:pPr>
            <w:r w:rsidRPr="00E7482C">
              <w:t>LIENSs</w:t>
            </w:r>
          </w:p>
        </w:tc>
        <w:tc>
          <w:tcPr>
            <w:tcW w:w="1724" w:type="dxa"/>
            <w:vAlign w:val="top"/>
          </w:tcPr>
          <w:p w14:paraId="35CCD075" w14:textId="77777777" w:rsidR="00F10885" w:rsidRPr="00E7482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E7482C">
              <w:t>LIttoral ENvironnement et Sociétés</w:t>
            </w:r>
          </w:p>
        </w:tc>
        <w:tc>
          <w:tcPr>
            <w:tcW w:w="2670" w:type="dxa"/>
          </w:tcPr>
          <w:p w14:paraId="0D65E828" w14:textId="77777777" w:rsidR="00F10885" w:rsidRPr="00E7482C"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E7482C">
              <w:t>U. La Rochelle***</w:t>
            </w:r>
          </w:p>
          <w:p w14:paraId="1987FD3B" w14:textId="77777777" w:rsidR="00F10885" w:rsidRPr="00E7482C"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E7482C">
              <w:t>CNRS**</w:t>
            </w:r>
          </w:p>
        </w:tc>
        <w:tc>
          <w:tcPr>
            <w:tcW w:w="2268" w:type="dxa"/>
          </w:tcPr>
          <w:p w14:paraId="110A8AD7" w14:textId="77777777" w:rsidR="00F10885" w:rsidRPr="00E7482C"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E7482C">
              <w:t>41</w:t>
            </w:r>
          </w:p>
        </w:tc>
        <w:tc>
          <w:tcPr>
            <w:tcW w:w="2119" w:type="dxa"/>
          </w:tcPr>
          <w:p w14:paraId="5C7D1BBE" w14:textId="77777777" w:rsidR="00F10885" w:rsidRPr="00E7482C"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E7482C">
              <w:t>2</w:t>
            </w:r>
          </w:p>
        </w:tc>
      </w:tr>
      <w:tr w:rsidR="00F10885" w:rsidRPr="00195C26" w14:paraId="72796C00"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3C326533" w14:textId="77777777" w:rsidR="00F10885" w:rsidRPr="005D0776" w:rsidRDefault="00F10885" w:rsidP="00B25AC8">
            <w:pPr>
              <w:pStyle w:val="TableauSchmaOrganigrammealignementgauche"/>
              <w:rPr>
                <w:sz w:val="22"/>
                <w:lang w:val="en-US"/>
              </w:rPr>
            </w:pPr>
            <w:r w:rsidRPr="006A14EA">
              <w:t>IMBE</w:t>
            </w:r>
          </w:p>
        </w:tc>
        <w:tc>
          <w:tcPr>
            <w:tcW w:w="1724" w:type="dxa"/>
            <w:vAlign w:val="top"/>
          </w:tcPr>
          <w:p w14:paraId="74611DD5"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 xml:space="preserve">Institut </w:t>
            </w:r>
            <w:r>
              <w:t>M</w:t>
            </w:r>
            <w:r w:rsidRPr="000749DF">
              <w:t xml:space="preserve">éditerranéen de </w:t>
            </w:r>
            <w:r>
              <w:t>B</w:t>
            </w:r>
            <w:r w:rsidRPr="000749DF">
              <w:t>iodiversité et d'</w:t>
            </w:r>
            <w:r>
              <w:t>É</w:t>
            </w:r>
            <w:r w:rsidRPr="000749DF">
              <w:t>cologie marine et continentale</w:t>
            </w:r>
          </w:p>
        </w:tc>
        <w:tc>
          <w:tcPr>
            <w:tcW w:w="2670" w:type="dxa"/>
          </w:tcPr>
          <w:p w14:paraId="4CC25915"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Aix-Marseille U.***</w:t>
            </w:r>
          </w:p>
          <w:p w14:paraId="56E05943"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Avignon U.**</w:t>
            </w:r>
          </w:p>
          <w:p w14:paraId="77CD48FC"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1975F019" w14:textId="77777777" w:rsidR="00F10885" w:rsidRPr="00AB30D7"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IRD**</w:t>
            </w:r>
          </w:p>
        </w:tc>
        <w:tc>
          <w:tcPr>
            <w:tcW w:w="2268" w:type="dxa"/>
          </w:tcPr>
          <w:p w14:paraId="5C88AEFF"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40</w:t>
            </w:r>
          </w:p>
        </w:tc>
        <w:tc>
          <w:tcPr>
            <w:tcW w:w="2119" w:type="dxa"/>
          </w:tcPr>
          <w:p w14:paraId="02AE4428"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2</w:t>
            </w:r>
          </w:p>
        </w:tc>
      </w:tr>
      <w:tr w:rsidR="00F10885" w:rsidRPr="00195C26" w14:paraId="6F5EAFE4" w14:textId="77777777" w:rsidTr="00B25AC8">
        <w:trPr>
          <w:trHeight w:val="166"/>
        </w:trPr>
        <w:tc>
          <w:tcPr>
            <w:cnfStyle w:val="001000000000" w:firstRow="0" w:lastRow="0" w:firstColumn="1" w:lastColumn="0" w:oddVBand="0" w:evenVBand="0" w:oddHBand="0" w:evenHBand="0" w:firstRowFirstColumn="0" w:firstRowLastColumn="0" w:lastRowFirstColumn="0" w:lastRowLastColumn="0"/>
            <w:tcW w:w="1016" w:type="dxa"/>
            <w:vAlign w:val="top"/>
          </w:tcPr>
          <w:p w14:paraId="3731220E" w14:textId="77777777" w:rsidR="00F10885" w:rsidRPr="005D0776" w:rsidRDefault="00F10885" w:rsidP="00B25AC8">
            <w:pPr>
              <w:pStyle w:val="TableauSchmaOrganigrammealignementgauche"/>
              <w:rPr>
                <w:sz w:val="22"/>
                <w:lang w:val="en-US"/>
              </w:rPr>
            </w:pPr>
            <w:r w:rsidRPr="006A14EA">
              <w:t>HSM</w:t>
            </w:r>
          </w:p>
        </w:tc>
        <w:tc>
          <w:tcPr>
            <w:tcW w:w="1724" w:type="dxa"/>
            <w:vAlign w:val="top"/>
          </w:tcPr>
          <w:p w14:paraId="72F44CC6" w14:textId="77777777" w:rsidR="00F10885" w:rsidRPr="00195C26"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0749DF">
              <w:t>Hydro</w:t>
            </w:r>
            <w:r>
              <w:t>S</w:t>
            </w:r>
            <w:r w:rsidRPr="000749DF">
              <w:t>ciences Montpellier</w:t>
            </w:r>
          </w:p>
        </w:tc>
        <w:tc>
          <w:tcPr>
            <w:tcW w:w="2670" w:type="dxa"/>
          </w:tcPr>
          <w:p w14:paraId="21323208"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Montpellier***</w:t>
            </w:r>
          </w:p>
          <w:p w14:paraId="1DB6182D"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6DCA43D2"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IRD**</w:t>
            </w:r>
          </w:p>
          <w:p w14:paraId="0398C874" w14:textId="77777777" w:rsidR="00F10885" w:rsidRPr="00500F87"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IMT Mines Alès*</w:t>
            </w:r>
          </w:p>
        </w:tc>
        <w:tc>
          <w:tcPr>
            <w:tcW w:w="2268" w:type="dxa"/>
          </w:tcPr>
          <w:p w14:paraId="174EB2AE"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32</w:t>
            </w:r>
          </w:p>
        </w:tc>
        <w:tc>
          <w:tcPr>
            <w:tcW w:w="2119" w:type="dxa"/>
          </w:tcPr>
          <w:p w14:paraId="41297AF4"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052D2241"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1E8EA216" w14:textId="77777777" w:rsidR="00F10885" w:rsidRPr="00195C26" w:rsidRDefault="00F10885" w:rsidP="00B25AC8">
            <w:pPr>
              <w:pStyle w:val="TableauSchmaOrganigrammealignementgauche"/>
              <w:rPr>
                <w:sz w:val="22"/>
              </w:rPr>
            </w:pPr>
            <w:r w:rsidRPr="006A14EA">
              <w:t>ISEM</w:t>
            </w:r>
          </w:p>
        </w:tc>
        <w:tc>
          <w:tcPr>
            <w:tcW w:w="1724" w:type="dxa"/>
            <w:vAlign w:val="top"/>
          </w:tcPr>
          <w:p w14:paraId="60ECDAF7"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Institut des Sciences de l'Évolution de Montpellier</w:t>
            </w:r>
          </w:p>
        </w:tc>
        <w:tc>
          <w:tcPr>
            <w:tcW w:w="2670" w:type="dxa"/>
          </w:tcPr>
          <w:p w14:paraId="79991FAD" w14:textId="77777777" w:rsidR="00F10885" w:rsidRPr="009E17E2"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9E17E2">
              <w:rPr>
                <w:lang w:val="en-US"/>
              </w:rPr>
              <w:t>U. Montpellier***</w:t>
            </w:r>
          </w:p>
          <w:p w14:paraId="026129E9"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8C24C3">
              <w:rPr>
                <w:lang w:val="en-US"/>
              </w:rPr>
              <w:t>CNR</w:t>
            </w:r>
            <w:r>
              <w:rPr>
                <w:lang w:val="en-US"/>
              </w:rPr>
              <w:t>S**</w:t>
            </w:r>
          </w:p>
          <w:p w14:paraId="64917F12" w14:textId="77777777" w:rsidR="00F10885" w:rsidRPr="009E17E2"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9E17E2">
              <w:rPr>
                <w:lang w:val="en-US"/>
              </w:rPr>
              <w:t>CIRAD**</w:t>
            </w:r>
          </w:p>
          <w:p w14:paraId="3CC4D4EC"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8C24C3">
              <w:rPr>
                <w:lang w:val="en-US"/>
              </w:rPr>
              <w:t>EPHE**</w:t>
            </w:r>
          </w:p>
          <w:p w14:paraId="6629241E" w14:textId="77777777" w:rsidR="00F10885" w:rsidRPr="008C24C3"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8C24C3">
              <w:rPr>
                <w:lang w:val="en-US"/>
              </w:rPr>
              <w:t>IRD**</w:t>
            </w:r>
          </w:p>
          <w:p w14:paraId="535B908D" w14:textId="77777777" w:rsidR="00F10885" w:rsidRPr="008C24C3"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8C24C3">
              <w:rPr>
                <w:lang w:val="en-US"/>
              </w:rPr>
              <w:t>PSL U.**</w:t>
            </w:r>
          </w:p>
          <w:p w14:paraId="7AC56283" w14:textId="77777777" w:rsidR="00F10885" w:rsidRPr="008C24C3"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8C24C3">
              <w:rPr>
                <w:lang w:val="en-US"/>
              </w:rPr>
              <w:t>INRAP***</w:t>
            </w:r>
          </w:p>
        </w:tc>
        <w:tc>
          <w:tcPr>
            <w:tcW w:w="2268" w:type="dxa"/>
          </w:tcPr>
          <w:p w14:paraId="01612E02"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29</w:t>
            </w:r>
          </w:p>
        </w:tc>
        <w:tc>
          <w:tcPr>
            <w:tcW w:w="2119" w:type="dxa"/>
          </w:tcPr>
          <w:p w14:paraId="082EC44B"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4BB81D9A"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2F87CEA6" w14:textId="77777777" w:rsidR="00F10885" w:rsidRPr="005D0776" w:rsidRDefault="00F10885" w:rsidP="00B25AC8">
            <w:pPr>
              <w:pStyle w:val="TableauSchmaOrganigrammealignementgauche"/>
              <w:rPr>
                <w:sz w:val="22"/>
                <w:lang w:val="en-US"/>
              </w:rPr>
            </w:pPr>
            <w:r w:rsidRPr="006A14EA">
              <w:t>METIS</w:t>
            </w:r>
          </w:p>
        </w:tc>
        <w:tc>
          <w:tcPr>
            <w:tcW w:w="1724" w:type="dxa"/>
            <w:vAlign w:val="top"/>
          </w:tcPr>
          <w:p w14:paraId="080F8CE3"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Milieux Environnementaux, Transferts et Interactions dans les hydrosystèmes et les Sols</w:t>
            </w:r>
          </w:p>
        </w:tc>
        <w:tc>
          <w:tcPr>
            <w:tcW w:w="2670" w:type="dxa"/>
          </w:tcPr>
          <w:p w14:paraId="579CA2BD"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Sorbonne U.***</w:t>
            </w:r>
          </w:p>
          <w:p w14:paraId="2F1C0CAF"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621F537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EPHE**</w:t>
            </w:r>
          </w:p>
          <w:p w14:paraId="66D1D76B" w14:textId="77777777" w:rsidR="00F10885" w:rsidRPr="00BE5A68"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PSL U.**</w:t>
            </w:r>
          </w:p>
        </w:tc>
        <w:tc>
          <w:tcPr>
            <w:tcW w:w="2268" w:type="dxa"/>
          </w:tcPr>
          <w:p w14:paraId="1B41FFE3"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27</w:t>
            </w:r>
          </w:p>
        </w:tc>
        <w:tc>
          <w:tcPr>
            <w:tcW w:w="2119" w:type="dxa"/>
          </w:tcPr>
          <w:p w14:paraId="4E025D0A"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121A8BE4"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71547608" w14:textId="77777777" w:rsidR="00F10885" w:rsidRPr="005D0776" w:rsidRDefault="00F10885" w:rsidP="00B25AC8">
            <w:pPr>
              <w:pStyle w:val="TableauSchmaOrganigrammealignementgauche"/>
              <w:rPr>
                <w:sz w:val="22"/>
                <w:lang w:val="en-US"/>
              </w:rPr>
            </w:pPr>
            <w:r w:rsidRPr="006A14EA">
              <w:t>CEFE</w:t>
            </w:r>
          </w:p>
        </w:tc>
        <w:tc>
          <w:tcPr>
            <w:tcW w:w="1724" w:type="dxa"/>
            <w:vAlign w:val="top"/>
          </w:tcPr>
          <w:p w14:paraId="50410FFC" w14:textId="77777777" w:rsidR="00F10885" w:rsidRPr="0024121C"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0749DF">
              <w:t>Centre d’Écologie Fonctionnelle et Évolutive</w:t>
            </w:r>
          </w:p>
        </w:tc>
        <w:tc>
          <w:tcPr>
            <w:tcW w:w="2670" w:type="dxa"/>
          </w:tcPr>
          <w:p w14:paraId="6B0F12C8"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Montpellier***</w:t>
            </w:r>
          </w:p>
          <w:p w14:paraId="3C507380"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756BBE41"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EPHE**</w:t>
            </w:r>
          </w:p>
          <w:p w14:paraId="416EABC4"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131C7A">
              <w:rPr>
                <w:lang w:val="en-US"/>
              </w:rPr>
              <w:lastRenderedPageBreak/>
              <w:t>In</w:t>
            </w:r>
            <w:r>
              <w:rPr>
                <w:lang w:val="en-US"/>
              </w:rPr>
              <w:t>stitut Agro**</w:t>
            </w:r>
          </w:p>
          <w:p w14:paraId="4DC04443"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IRD**</w:t>
            </w:r>
          </w:p>
          <w:p w14:paraId="640791CF"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U. Montpellier 3**</w:t>
            </w:r>
          </w:p>
          <w:p w14:paraId="11719961" w14:textId="77777777" w:rsidR="00F10885" w:rsidRPr="00131C7A"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INRAE*</w:t>
            </w:r>
          </w:p>
        </w:tc>
        <w:tc>
          <w:tcPr>
            <w:tcW w:w="2268" w:type="dxa"/>
          </w:tcPr>
          <w:p w14:paraId="4E15D649"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lastRenderedPageBreak/>
              <w:t>26</w:t>
            </w:r>
          </w:p>
        </w:tc>
        <w:tc>
          <w:tcPr>
            <w:tcW w:w="2119" w:type="dxa"/>
          </w:tcPr>
          <w:p w14:paraId="36CA8344"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2</w:t>
            </w:r>
          </w:p>
        </w:tc>
      </w:tr>
      <w:tr w:rsidR="00F10885" w:rsidRPr="00195C26" w14:paraId="507860D7"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1F75688C" w14:textId="77777777" w:rsidR="00F10885" w:rsidRPr="005D0776" w:rsidRDefault="00F10885" w:rsidP="00B25AC8">
            <w:pPr>
              <w:pStyle w:val="TableauSchmaOrganigrammealignementgauche"/>
              <w:rPr>
                <w:sz w:val="22"/>
                <w:lang w:val="en-US"/>
              </w:rPr>
            </w:pPr>
            <w:r w:rsidRPr="006A14EA">
              <w:t>LAERO</w:t>
            </w:r>
          </w:p>
        </w:tc>
        <w:tc>
          <w:tcPr>
            <w:tcW w:w="1724" w:type="dxa"/>
            <w:vAlign w:val="top"/>
          </w:tcPr>
          <w:p w14:paraId="7638779B" w14:textId="77777777" w:rsidR="00F10885" w:rsidRPr="00195C26"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0749DF">
              <w:t>L</w:t>
            </w:r>
            <w:r>
              <w:t>a</w:t>
            </w:r>
            <w:r w:rsidRPr="000749DF">
              <w:t>boratoire d'aérologie</w:t>
            </w:r>
          </w:p>
        </w:tc>
        <w:tc>
          <w:tcPr>
            <w:tcW w:w="2670" w:type="dxa"/>
          </w:tcPr>
          <w:p w14:paraId="6F5170B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Toulouse 3***</w:t>
            </w:r>
          </w:p>
          <w:p w14:paraId="225DFC9E"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0AB0EEAD" w14:textId="77777777" w:rsidR="00F10885" w:rsidRPr="009E2EBB"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IRD*</w:t>
            </w:r>
          </w:p>
        </w:tc>
        <w:tc>
          <w:tcPr>
            <w:tcW w:w="2268" w:type="dxa"/>
          </w:tcPr>
          <w:p w14:paraId="40C11BF1"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25</w:t>
            </w:r>
          </w:p>
        </w:tc>
        <w:tc>
          <w:tcPr>
            <w:tcW w:w="2119" w:type="dxa"/>
          </w:tcPr>
          <w:p w14:paraId="4B59D620"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6A7EBA98"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3528026E" w14:textId="77777777" w:rsidR="00F10885" w:rsidRPr="00195C26" w:rsidRDefault="00F10885" w:rsidP="00B25AC8">
            <w:pPr>
              <w:pStyle w:val="TableauSchmaOrganigrammealignementgauche"/>
              <w:rPr>
                <w:sz w:val="22"/>
              </w:rPr>
            </w:pPr>
            <w:r w:rsidRPr="006A14EA">
              <w:t>BGS</w:t>
            </w:r>
          </w:p>
        </w:tc>
        <w:tc>
          <w:tcPr>
            <w:tcW w:w="1724" w:type="dxa"/>
            <w:vAlign w:val="top"/>
          </w:tcPr>
          <w:p w14:paraId="5AF20622" w14:textId="77777777" w:rsidR="00F10885" w:rsidRPr="00195C26"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0749DF">
              <w:t>Bio</w:t>
            </w:r>
            <w:r>
              <w:t>G</w:t>
            </w:r>
            <w:r w:rsidRPr="000749DF">
              <w:t>éo</w:t>
            </w:r>
            <w:r>
              <w:t>S</w:t>
            </w:r>
            <w:r w:rsidRPr="000749DF">
              <w:t>ciences</w:t>
            </w:r>
          </w:p>
        </w:tc>
        <w:tc>
          <w:tcPr>
            <w:tcW w:w="2670" w:type="dxa"/>
          </w:tcPr>
          <w:p w14:paraId="11E22DD5"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Bourgogne***</w:t>
            </w:r>
          </w:p>
          <w:p w14:paraId="2D04F1F0" w14:textId="77777777" w:rsidR="00F10885" w:rsidRPr="009E17E2"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9E17E2">
              <w:t>CNRS**</w:t>
            </w:r>
          </w:p>
          <w:p w14:paraId="31C24873" w14:textId="77777777" w:rsidR="00F10885" w:rsidRPr="009E17E2"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9E17E2">
              <w:t>EPHE**</w:t>
            </w:r>
          </w:p>
          <w:p w14:paraId="05622977" w14:textId="77777777" w:rsidR="00F10885" w:rsidRPr="009E17E2"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9E17E2">
              <w:t>PSL U.**</w:t>
            </w:r>
          </w:p>
          <w:p w14:paraId="21DD6ADC" w14:textId="77777777" w:rsidR="00F10885" w:rsidRPr="0047514F"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47514F">
              <w:t>U. Bourgogne-</w:t>
            </w:r>
            <w:r>
              <w:t>Franche-Comté**</w:t>
            </w:r>
          </w:p>
          <w:p w14:paraId="46594F57" w14:textId="77777777" w:rsidR="00F10885" w:rsidRPr="0047514F"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47514F">
              <w:t>Institut Agro*</w:t>
            </w:r>
          </w:p>
        </w:tc>
        <w:tc>
          <w:tcPr>
            <w:tcW w:w="2268" w:type="dxa"/>
          </w:tcPr>
          <w:p w14:paraId="6B459924"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C70DCE">
              <w:t>23</w:t>
            </w:r>
          </w:p>
        </w:tc>
        <w:tc>
          <w:tcPr>
            <w:tcW w:w="2119" w:type="dxa"/>
          </w:tcPr>
          <w:p w14:paraId="6810E06E"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1</w:t>
            </w:r>
          </w:p>
        </w:tc>
      </w:tr>
      <w:tr w:rsidR="00F10885" w:rsidRPr="00195C26" w14:paraId="1ABBB377"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1AC942DF" w14:textId="77777777" w:rsidR="00F10885" w:rsidRPr="00195C26" w:rsidRDefault="00F10885" w:rsidP="00B25AC8">
            <w:pPr>
              <w:pStyle w:val="TableauSchmaOrganigrammealignementgauche"/>
              <w:rPr>
                <w:sz w:val="22"/>
                <w:lang w:val="en-US"/>
              </w:rPr>
            </w:pPr>
            <w:r w:rsidRPr="006A14EA">
              <w:t>GET</w:t>
            </w:r>
          </w:p>
        </w:tc>
        <w:tc>
          <w:tcPr>
            <w:tcW w:w="1724" w:type="dxa"/>
            <w:vAlign w:val="top"/>
          </w:tcPr>
          <w:p w14:paraId="36171CD6" w14:textId="77777777" w:rsidR="00F10885" w:rsidRPr="00195C26"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lang w:val="en-US"/>
              </w:rPr>
            </w:pPr>
            <w:r w:rsidRPr="000749DF">
              <w:t>Géosciences Environnement Toulouse</w:t>
            </w:r>
          </w:p>
        </w:tc>
        <w:tc>
          <w:tcPr>
            <w:tcW w:w="2670" w:type="dxa"/>
          </w:tcPr>
          <w:p w14:paraId="2FB9FD95"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lang w:val="en-US"/>
              </w:rPr>
            </w:pPr>
            <w:r w:rsidRPr="008246C6">
              <w:rPr>
                <w:lang w:val="en-US"/>
              </w:rPr>
              <w:t>U. To</w:t>
            </w:r>
            <w:r>
              <w:rPr>
                <w:lang w:val="en-US"/>
              </w:rPr>
              <w:t>ulouse 3***</w:t>
            </w:r>
          </w:p>
          <w:p w14:paraId="0D420DAE"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8246C6">
              <w:t>CN</w:t>
            </w:r>
            <w:r>
              <w:t>RS**</w:t>
            </w:r>
          </w:p>
          <w:p w14:paraId="3A1389CD" w14:textId="77777777" w:rsidR="00F10885" w:rsidRPr="008246C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IRD**</w:t>
            </w:r>
          </w:p>
          <w:p w14:paraId="1A9A6327"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BRGM*</w:t>
            </w:r>
          </w:p>
          <w:p w14:paraId="2FDA954D" w14:textId="77777777" w:rsidR="00F10885" w:rsidRPr="008246C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CNES*</w:t>
            </w:r>
          </w:p>
        </w:tc>
        <w:tc>
          <w:tcPr>
            <w:tcW w:w="2268" w:type="dxa"/>
          </w:tcPr>
          <w:p w14:paraId="6F9E8569" w14:textId="77777777" w:rsidR="00F10885" w:rsidRPr="0078517C"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C70DCE">
              <w:t>20</w:t>
            </w:r>
          </w:p>
        </w:tc>
        <w:tc>
          <w:tcPr>
            <w:tcW w:w="2119" w:type="dxa"/>
          </w:tcPr>
          <w:p w14:paraId="2F70F033" w14:textId="77777777" w:rsidR="00F10885" w:rsidRPr="00195C26"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rPr>
                <w:sz w:val="22"/>
                <w:lang w:val="en-US"/>
              </w:rPr>
            </w:pPr>
            <w:r w:rsidRPr="00B30338">
              <w:t>2</w:t>
            </w:r>
          </w:p>
        </w:tc>
      </w:tr>
      <w:tr w:rsidR="00F10885" w:rsidRPr="00195C26" w14:paraId="1194D5C8" w14:textId="77777777" w:rsidTr="00B25AC8">
        <w:tc>
          <w:tcPr>
            <w:cnfStyle w:val="001000000000" w:firstRow="0" w:lastRow="0" w:firstColumn="1" w:lastColumn="0" w:oddVBand="0" w:evenVBand="0" w:oddHBand="0" w:evenHBand="0" w:firstRowFirstColumn="0" w:firstRowLastColumn="0" w:lastRowFirstColumn="0" w:lastRowLastColumn="0"/>
            <w:tcW w:w="1016" w:type="dxa"/>
          </w:tcPr>
          <w:p w14:paraId="2DE09507" w14:textId="77777777" w:rsidR="00F10885" w:rsidRPr="00D56154" w:rsidRDefault="00F10885" w:rsidP="00B25AC8">
            <w:pPr>
              <w:pStyle w:val="TableauSchmaOrganigrammealignementgauche"/>
              <w:spacing w:before="0"/>
            </w:pPr>
            <w:r w:rsidRPr="00D56154">
              <w:t>ECOSYS</w:t>
            </w:r>
          </w:p>
        </w:tc>
        <w:tc>
          <w:tcPr>
            <w:tcW w:w="1724" w:type="dxa"/>
            <w:vAlign w:val="top"/>
          </w:tcPr>
          <w:p w14:paraId="1BC1FB3F" w14:textId="77777777" w:rsidR="00F10885" w:rsidRPr="001A7FAF" w:rsidRDefault="00F10885" w:rsidP="00B25AC8">
            <w:pPr>
              <w:pStyle w:val="TableauSchmaOrganigrammealignementgauche"/>
              <w:spacing w:before="0"/>
              <w:cnfStyle w:val="000000000000" w:firstRow="0" w:lastRow="0" w:firstColumn="0" w:lastColumn="0" w:oddVBand="0" w:evenVBand="0" w:oddHBand="0" w:evenHBand="0" w:firstRowFirstColumn="0" w:firstRowLastColumn="0" w:lastRowFirstColumn="0" w:lastRowLastColumn="0"/>
            </w:pPr>
            <w:r w:rsidRPr="001A7FAF">
              <w:t>Écologie fonctionnelle et écotoxicologie des agroécosystèmes</w:t>
            </w:r>
          </w:p>
        </w:tc>
        <w:tc>
          <w:tcPr>
            <w:tcW w:w="2670" w:type="dxa"/>
          </w:tcPr>
          <w:p w14:paraId="7BD06139" w14:textId="77777777" w:rsidR="00F10885"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pPr>
            <w:r>
              <w:t>INRAE***</w:t>
            </w:r>
          </w:p>
          <w:p w14:paraId="042EB089" w14:textId="77777777" w:rsidR="00F10885"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rPr>
                <w:lang w:val="en-US"/>
              </w:rPr>
            </w:pPr>
            <w:r>
              <w:t>AgroParisTech**</w:t>
            </w:r>
            <w:r>
              <w:br/>
              <w:t>U. Paris-Saclay**</w:t>
            </w:r>
          </w:p>
        </w:tc>
        <w:tc>
          <w:tcPr>
            <w:tcW w:w="2268" w:type="dxa"/>
          </w:tcPr>
          <w:p w14:paraId="0E372FBF" w14:textId="77777777" w:rsidR="00F10885" w:rsidRPr="0078517C"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pPr>
            <w:r w:rsidRPr="0078517C">
              <w:t>13</w:t>
            </w:r>
          </w:p>
        </w:tc>
        <w:tc>
          <w:tcPr>
            <w:tcW w:w="2119" w:type="dxa"/>
          </w:tcPr>
          <w:p w14:paraId="762F59CC" w14:textId="77777777" w:rsidR="00F10885" w:rsidRPr="003A78CF"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pPr>
            <w:r w:rsidRPr="003A78CF">
              <w:t>3</w:t>
            </w:r>
          </w:p>
        </w:tc>
      </w:tr>
      <w:tr w:rsidR="00F10885" w:rsidRPr="00195C26" w14:paraId="037513B4" w14:textId="77777777" w:rsidTr="00B25AC8">
        <w:tc>
          <w:tcPr>
            <w:cnfStyle w:val="001000000000" w:firstRow="0" w:lastRow="0" w:firstColumn="1" w:lastColumn="0" w:oddVBand="0" w:evenVBand="0" w:oddHBand="0" w:evenHBand="0" w:firstRowFirstColumn="0" w:firstRowLastColumn="0" w:lastRowFirstColumn="0" w:lastRowLastColumn="0"/>
            <w:tcW w:w="1016" w:type="dxa"/>
          </w:tcPr>
          <w:p w14:paraId="15DA1813" w14:textId="77777777" w:rsidR="00F10885" w:rsidRPr="00D56154" w:rsidRDefault="00F10885" w:rsidP="00B25AC8">
            <w:pPr>
              <w:pStyle w:val="TableauSchmaOrganigrammealignementgauche"/>
              <w:spacing w:before="0"/>
            </w:pPr>
            <w:r w:rsidRPr="00D56154">
              <w:t>GAEL</w:t>
            </w:r>
          </w:p>
        </w:tc>
        <w:tc>
          <w:tcPr>
            <w:tcW w:w="1724" w:type="dxa"/>
            <w:vAlign w:val="top"/>
          </w:tcPr>
          <w:p w14:paraId="6ADA5024" w14:textId="77777777" w:rsidR="00F10885" w:rsidRPr="0024121C" w:rsidRDefault="00F10885" w:rsidP="00B25AC8">
            <w:pPr>
              <w:pStyle w:val="TableauSchmaOrganigrammealignementgauche"/>
              <w:spacing w:before="0"/>
              <w:cnfStyle w:val="000000000000" w:firstRow="0" w:lastRow="0" w:firstColumn="0" w:lastColumn="0" w:oddVBand="0" w:evenVBand="0" w:oddHBand="0" w:evenHBand="0" w:firstRowFirstColumn="0" w:firstRowLastColumn="0" w:lastRowFirstColumn="0" w:lastRowLastColumn="0"/>
              <w:rPr>
                <w:sz w:val="22"/>
              </w:rPr>
            </w:pPr>
            <w:r w:rsidRPr="001A7FAF">
              <w:t>Laboratoire d'Économie Appliquée de Grenoble</w:t>
            </w:r>
          </w:p>
        </w:tc>
        <w:tc>
          <w:tcPr>
            <w:tcW w:w="2670" w:type="dxa"/>
          </w:tcPr>
          <w:p w14:paraId="54415A9B" w14:textId="77777777" w:rsidR="00F10885"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U. Grenoble Alpes***</w:t>
            </w:r>
          </w:p>
          <w:p w14:paraId="6A3DCAF1" w14:textId="77777777" w:rsidR="00F10885"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CNRS**</w:t>
            </w:r>
          </w:p>
          <w:p w14:paraId="5F9F6933" w14:textId="77777777" w:rsidR="00F10885"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rPr>
                <w:lang w:val="en-US"/>
              </w:rPr>
            </w:pPr>
            <w:r>
              <w:rPr>
                <w:lang w:val="en-US"/>
              </w:rPr>
              <w:t>Grenoble INP**</w:t>
            </w:r>
          </w:p>
          <w:p w14:paraId="0193A7B7" w14:textId="77777777" w:rsidR="00F10885" w:rsidRPr="003A78CF"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pPr>
            <w:r>
              <w:rPr>
                <w:lang w:val="en-US"/>
              </w:rPr>
              <w:t>INRAE**</w:t>
            </w:r>
          </w:p>
        </w:tc>
        <w:tc>
          <w:tcPr>
            <w:tcW w:w="2268" w:type="dxa"/>
          </w:tcPr>
          <w:p w14:paraId="1895D752" w14:textId="77777777" w:rsidR="00F10885" w:rsidRPr="00A117B7"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pPr>
            <w:r w:rsidRPr="0078517C">
              <w:t>13</w:t>
            </w:r>
          </w:p>
        </w:tc>
        <w:tc>
          <w:tcPr>
            <w:tcW w:w="2119" w:type="dxa"/>
          </w:tcPr>
          <w:p w14:paraId="47723557" w14:textId="77777777" w:rsidR="00F10885" w:rsidRPr="003A78CF" w:rsidRDefault="00F10885" w:rsidP="00B25AC8">
            <w:pPr>
              <w:pStyle w:val="TableauSchmaOrganigrammealignementgauche"/>
              <w:spacing w:before="0"/>
              <w:jc w:val="center"/>
              <w:cnfStyle w:val="000000000000" w:firstRow="0" w:lastRow="0" w:firstColumn="0" w:lastColumn="0" w:oddVBand="0" w:evenVBand="0" w:oddHBand="0" w:evenHBand="0" w:firstRowFirstColumn="0" w:firstRowLastColumn="0" w:lastRowFirstColumn="0" w:lastRowLastColumn="0"/>
            </w:pPr>
            <w:r w:rsidRPr="003A78CF">
              <w:t>3</w:t>
            </w:r>
          </w:p>
        </w:tc>
      </w:tr>
      <w:tr w:rsidR="00F10885" w:rsidRPr="00195C26" w14:paraId="5E4C3346"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3D8187F4" w14:textId="77777777" w:rsidR="00F10885" w:rsidRPr="00D56154" w:rsidRDefault="00F10885" w:rsidP="00B25AC8">
            <w:pPr>
              <w:pStyle w:val="TableauSchmaOrganigrammealignementgauche"/>
            </w:pPr>
            <w:r w:rsidRPr="00D56154">
              <w:t>AIDA</w:t>
            </w:r>
          </w:p>
        </w:tc>
        <w:tc>
          <w:tcPr>
            <w:tcW w:w="1724" w:type="dxa"/>
            <w:vAlign w:val="top"/>
          </w:tcPr>
          <w:p w14:paraId="2D4971E2" w14:textId="77777777" w:rsidR="00F10885" w:rsidRPr="008F4B95"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pPr>
            <w:r w:rsidRPr="008F4B95">
              <w:t xml:space="preserve">Agroécologie et Intensification Durables des cultures </w:t>
            </w:r>
            <w:r>
              <w:t>A</w:t>
            </w:r>
            <w:r w:rsidRPr="008F4B95">
              <w:t>nnuelles</w:t>
            </w:r>
          </w:p>
        </w:tc>
        <w:tc>
          <w:tcPr>
            <w:tcW w:w="2670" w:type="dxa"/>
          </w:tcPr>
          <w:p w14:paraId="75A2C78F"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22174A">
              <w:t>CIRAD</w:t>
            </w:r>
            <w:r>
              <w:t>***</w:t>
            </w:r>
          </w:p>
        </w:tc>
        <w:tc>
          <w:tcPr>
            <w:tcW w:w="2268" w:type="dxa"/>
          </w:tcPr>
          <w:p w14:paraId="00CEBEB3" w14:textId="77777777" w:rsidR="00F10885" w:rsidRPr="0078517C"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78517C">
              <w:t>10</w:t>
            </w:r>
          </w:p>
        </w:tc>
        <w:tc>
          <w:tcPr>
            <w:tcW w:w="2119" w:type="dxa"/>
          </w:tcPr>
          <w:p w14:paraId="16769559" w14:textId="77777777" w:rsidR="00F10885" w:rsidRPr="003A78CF"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3A78CF">
              <w:t>3</w:t>
            </w:r>
          </w:p>
        </w:tc>
      </w:tr>
      <w:tr w:rsidR="00F10885" w:rsidRPr="00195C26" w14:paraId="38F53F03" w14:textId="77777777" w:rsidTr="00B25AC8">
        <w:tc>
          <w:tcPr>
            <w:cnfStyle w:val="001000000000" w:firstRow="0" w:lastRow="0" w:firstColumn="1" w:lastColumn="0" w:oddVBand="0" w:evenVBand="0" w:oddHBand="0" w:evenHBand="0" w:firstRowFirstColumn="0" w:firstRowLastColumn="0" w:lastRowFirstColumn="0" w:lastRowLastColumn="0"/>
            <w:tcW w:w="1016" w:type="dxa"/>
          </w:tcPr>
          <w:p w14:paraId="2C57F5C3" w14:textId="77777777" w:rsidR="00F10885" w:rsidRPr="00D56154" w:rsidRDefault="00F10885" w:rsidP="00B25AC8">
            <w:pPr>
              <w:pStyle w:val="TableauSchmaOrganigrammealignementgauche"/>
            </w:pPr>
            <w:r w:rsidRPr="00D56154">
              <w:t>CES</w:t>
            </w:r>
          </w:p>
        </w:tc>
        <w:tc>
          <w:tcPr>
            <w:tcW w:w="1724" w:type="dxa"/>
            <w:vAlign w:val="top"/>
          </w:tcPr>
          <w:p w14:paraId="457BF63B" w14:textId="77777777" w:rsidR="00F10885" w:rsidRPr="00EE2D77"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8F4B95">
              <w:t>Centre d'</w:t>
            </w:r>
            <w:r>
              <w:t>É</w:t>
            </w:r>
            <w:r w:rsidRPr="008F4B95">
              <w:t>conomie de la Sorbonne</w:t>
            </w:r>
          </w:p>
        </w:tc>
        <w:tc>
          <w:tcPr>
            <w:tcW w:w="2670" w:type="dxa"/>
          </w:tcPr>
          <w:p w14:paraId="3FA21EB5"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Paris 1***</w:t>
            </w:r>
          </w:p>
          <w:p w14:paraId="4980E776" w14:textId="77777777" w:rsidR="00F10885" w:rsidRPr="003D45C3"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tc>
        <w:tc>
          <w:tcPr>
            <w:tcW w:w="2268" w:type="dxa"/>
          </w:tcPr>
          <w:p w14:paraId="713C6E4F" w14:textId="77777777" w:rsidR="00F10885" w:rsidRPr="00A117B7"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78517C">
              <w:t>10</w:t>
            </w:r>
          </w:p>
        </w:tc>
        <w:tc>
          <w:tcPr>
            <w:tcW w:w="2119" w:type="dxa"/>
          </w:tcPr>
          <w:p w14:paraId="3660C1BD" w14:textId="77777777" w:rsidR="00F10885" w:rsidRPr="003A78CF"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3A78CF">
              <w:t>3</w:t>
            </w:r>
          </w:p>
        </w:tc>
      </w:tr>
      <w:tr w:rsidR="00F10885" w:rsidRPr="00195C26" w14:paraId="2EBB8376" w14:textId="77777777" w:rsidTr="00B25AC8">
        <w:tc>
          <w:tcPr>
            <w:cnfStyle w:val="001000000000" w:firstRow="0" w:lastRow="0" w:firstColumn="1" w:lastColumn="0" w:oddVBand="0" w:evenVBand="0" w:oddHBand="0" w:evenHBand="0" w:firstRowFirstColumn="0" w:firstRowLastColumn="0" w:lastRowFirstColumn="0" w:lastRowLastColumn="0"/>
            <w:tcW w:w="1016" w:type="dxa"/>
            <w:vAlign w:val="top"/>
          </w:tcPr>
          <w:p w14:paraId="337F1747" w14:textId="77777777" w:rsidR="00F10885" w:rsidRPr="00D56154" w:rsidRDefault="00F10885" w:rsidP="00B25AC8">
            <w:pPr>
              <w:pStyle w:val="TableauSchmaOrganigrammealignementgauche"/>
            </w:pPr>
            <w:r w:rsidRPr="00D56154">
              <w:t>PjSE</w:t>
            </w:r>
          </w:p>
        </w:tc>
        <w:tc>
          <w:tcPr>
            <w:tcW w:w="1724" w:type="dxa"/>
            <w:vAlign w:val="top"/>
          </w:tcPr>
          <w:p w14:paraId="2DACD9AF" w14:textId="77777777" w:rsidR="00F10885" w:rsidRPr="00EE2D77" w:rsidRDefault="00F10885" w:rsidP="00B25AC8">
            <w:pPr>
              <w:pStyle w:val="TableauSchmaOrganigrammealignementgauche"/>
              <w:cnfStyle w:val="000000000000" w:firstRow="0" w:lastRow="0" w:firstColumn="0" w:lastColumn="0" w:oddVBand="0" w:evenVBand="0" w:oddHBand="0" w:evenHBand="0" w:firstRowFirstColumn="0" w:firstRowLastColumn="0" w:lastRowFirstColumn="0" w:lastRowLastColumn="0"/>
              <w:rPr>
                <w:sz w:val="22"/>
              </w:rPr>
            </w:pPr>
            <w:r w:rsidRPr="008F4B95">
              <w:t>Paris Jourdan Sciences Economiques</w:t>
            </w:r>
          </w:p>
        </w:tc>
        <w:tc>
          <w:tcPr>
            <w:tcW w:w="2670" w:type="dxa"/>
          </w:tcPr>
          <w:p w14:paraId="5B27CEB6"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EHESS***</w:t>
            </w:r>
          </w:p>
          <w:p w14:paraId="2132088A"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CNRS**</w:t>
            </w:r>
          </w:p>
          <w:p w14:paraId="177E699B"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ENPC**</w:t>
            </w:r>
          </w:p>
          <w:p w14:paraId="67A6201F"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ENS Paris**</w:t>
            </w:r>
          </w:p>
          <w:p w14:paraId="6B2B23AB"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INRAE**</w:t>
            </w:r>
          </w:p>
          <w:p w14:paraId="7104523A" w14:textId="77777777" w:rsidR="00F1088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PSL U. **</w:t>
            </w:r>
          </w:p>
          <w:p w14:paraId="4DD365B1" w14:textId="77777777" w:rsidR="00F10885" w:rsidRPr="000F3F35"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t>U. Paris 1**</w:t>
            </w:r>
          </w:p>
        </w:tc>
        <w:tc>
          <w:tcPr>
            <w:tcW w:w="2268" w:type="dxa"/>
          </w:tcPr>
          <w:p w14:paraId="41F1236C" w14:textId="77777777" w:rsidR="00F10885" w:rsidRPr="00A117B7"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78517C">
              <w:t>10</w:t>
            </w:r>
          </w:p>
        </w:tc>
        <w:tc>
          <w:tcPr>
            <w:tcW w:w="2119" w:type="dxa"/>
          </w:tcPr>
          <w:p w14:paraId="5AE8C431" w14:textId="77777777" w:rsidR="00F10885" w:rsidRPr="003A78CF" w:rsidRDefault="00F10885" w:rsidP="00B25AC8">
            <w:pPr>
              <w:pStyle w:val="TableauSchmaOrganigrammealignementgauche"/>
              <w:jc w:val="center"/>
              <w:cnfStyle w:val="000000000000" w:firstRow="0" w:lastRow="0" w:firstColumn="0" w:lastColumn="0" w:oddVBand="0" w:evenVBand="0" w:oddHBand="0" w:evenHBand="0" w:firstRowFirstColumn="0" w:firstRowLastColumn="0" w:lastRowFirstColumn="0" w:lastRowLastColumn="0"/>
            </w:pPr>
            <w:r w:rsidRPr="003A78CF">
              <w:t>3</w:t>
            </w:r>
          </w:p>
        </w:tc>
      </w:tr>
    </w:tbl>
    <w:p w14:paraId="6AAF22C7" w14:textId="77777777" w:rsidR="00F10885" w:rsidRDefault="00F10885" w:rsidP="00F10885">
      <w:pPr>
        <w:pStyle w:val="TexteSource"/>
      </w:pPr>
      <w:r>
        <w:t xml:space="preserve">Source : RNSR et </w:t>
      </w:r>
      <w:r w:rsidRPr="003771A7">
        <w:t>analyses Cour des comptes d’après les citations du GIEC (6e cycle) croisées avec l’outil HAL</w:t>
      </w:r>
      <w:r>
        <w:t xml:space="preserve">. Les laboratoires sont ici classés par ordre décroissant du nombre de publications citées par le GIEC (ensemble des groupes). Les astérisques désignent les rôles des établissements vis-à-vis du laboratoire concerné d’après le RNSR : </w:t>
      </w:r>
    </w:p>
    <w:p w14:paraId="5BD60F1F" w14:textId="77777777" w:rsidR="00F10885" w:rsidRDefault="00F10885" w:rsidP="00F10885">
      <w:pPr>
        <w:pStyle w:val="TexteSource"/>
      </w:pPr>
      <w:r>
        <w:t xml:space="preserve">*** : tutelle de référence ; </w:t>
      </w:r>
    </w:p>
    <w:p w14:paraId="3E0F0881" w14:textId="77777777" w:rsidR="00F10885" w:rsidRDefault="00F10885" w:rsidP="00F10885">
      <w:pPr>
        <w:pStyle w:val="TexteSource"/>
      </w:pPr>
      <w:r>
        <w:t xml:space="preserve">** : tutelle ; </w:t>
      </w:r>
    </w:p>
    <w:p w14:paraId="61C61A72" w14:textId="77777777" w:rsidR="00F10885" w:rsidRPr="006F655E" w:rsidRDefault="00F10885" w:rsidP="00F10885">
      <w:pPr>
        <w:pStyle w:val="TexteSource"/>
      </w:pPr>
      <w:r>
        <w:t>* : établissement participant.</w:t>
      </w:r>
    </w:p>
    <w:p w14:paraId="4FE0EFF5" w14:textId="77777777" w:rsidR="00F10885" w:rsidRDefault="00F10885" w:rsidP="00F10885">
      <w:pPr>
        <w:sectPr w:rsidR="00F10885" w:rsidSect="00F10885">
          <w:pgSz w:w="11906" w:h="16838" w:code="9"/>
          <w:pgMar w:top="1701" w:right="1418" w:bottom="1701" w:left="1418" w:header="567" w:footer="567" w:gutter="0"/>
          <w:cols w:space="708"/>
          <w:docGrid w:linePitch="360"/>
        </w:sectPr>
      </w:pPr>
    </w:p>
    <w:p w14:paraId="68C0EC3B" w14:textId="77777777" w:rsidR="002B0E3E" w:rsidRPr="00EA51D4" w:rsidRDefault="002B0E3E" w:rsidP="00EA51D4">
      <w:pPr>
        <w:pStyle w:val="Titre1"/>
        <w:numPr>
          <w:ilvl w:val="0"/>
          <w:numId w:val="0"/>
        </w:numPr>
        <w:ind w:left="360"/>
        <w:rPr>
          <w:sz w:val="24"/>
        </w:rPr>
      </w:pPr>
    </w:p>
    <w:sectPr w:rsidR="002B0E3E" w:rsidRPr="00EA51D4" w:rsidSect="00EA51D4">
      <w:pgSz w:w="16838" w:h="11906" w:orient="landscape" w:code="9"/>
      <w:pgMar w:top="1418" w:right="1701" w:bottom="1418" w:left="170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E81BE0" w14:textId="77777777" w:rsidR="00C267D8" w:rsidRDefault="00C267D8" w:rsidP="00AB07BC">
      <w:pPr>
        <w:spacing w:before="0" w:after="0"/>
      </w:pPr>
      <w:r>
        <w:separator/>
      </w:r>
    </w:p>
    <w:p w14:paraId="368244A1" w14:textId="77777777" w:rsidR="00C267D8" w:rsidRDefault="00C267D8"/>
  </w:endnote>
  <w:endnote w:type="continuationSeparator" w:id="0">
    <w:p w14:paraId="29591B9A" w14:textId="77777777" w:rsidR="00C267D8" w:rsidRDefault="00C267D8" w:rsidP="00AB07BC">
      <w:pPr>
        <w:spacing w:before="0" w:after="0"/>
      </w:pPr>
      <w:r>
        <w:continuationSeparator/>
      </w:r>
    </w:p>
    <w:p w14:paraId="5A84B6A4" w14:textId="77777777" w:rsidR="00C267D8" w:rsidRDefault="00C267D8"/>
  </w:endnote>
  <w:endnote w:type="continuationNotice" w:id="1">
    <w:p w14:paraId="5BD640A8" w14:textId="77777777" w:rsidR="00C267D8" w:rsidRDefault="00C267D8">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Gras">
    <w:altName w:val="Arial"/>
    <w:panose1 w:val="020B0704020202020204"/>
    <w:charset w:val="00"/>
    <w:family w:val="roman"/>
    <w:notTrueType/>
    <w:pitch w:val="default"/>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277778"/>
      <w:docPartObj>
        <w:docPartGallery w:val="Page Numbers (Bottom of Page)"/>
        <w:docPartUnique/>
      </w:docPartObj>
    </w:sdtPr>
    <w:sdtContent>
      <w:sdt>
        <w:sdtPr>
          <w:id w:val="123277779"/>
          <w:docPartObj>
            <w:docPartGallery w:val="Page Numbers (Bottom of Page)"/>
            <w:docPartUnique/>
          </w:docPartObj>
        </w:sdtPr>
        <w:sdtContent>
          <w:p w14:paraId="2654CAFA" w14:textId="77777777" w:rsidR="009C0838" w:rsidRPr="003305D6" w:rsidRDefault="009C0838" w:rsidP="007C5E4C">
            <w:pPr>
              <w:pStyle w:val="Pieddepage"/>
              <w:rPr>
                <w:rStyle w:val="Numrodepage"/>
                <w:sz w:val="18"/>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14</w:t>
            </w:r>
            <w:r>
              <w:rPr>
                <w:rStyle w:val="Numrodepage"/>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4CAFB" w14:textId="77777777" w:rsidR="009C0838" w:rsidRDefault="009C0838" w:rsidP="001259F6">
    <w:pPr>
      <w:pStyle w:val="Pieddepage"/>
    </w:pPr>
    <w:r w:rsidRPr="00856E80">
      <w:t xml:space="preserve">13, rue Cambon </w:t>
    </w:r>
    <w:r w:rsidRPr="00724014">
      <w:rPr>
        <w:rFonts w:ascii="Wingdings" w:hAnsi="Wingdings"/>
        <w:sz w:val="8"/>
        <w:szCs w:val="8"/>
      </w:rPr>
      <w:t></w:t>
    </w:r>
    <w:r w:rsidRPr="00856E80">
      <w:t xml:space="preserve"> 75100 PARIS CEDEX 01 </w:t>
    </w:r>
    <w:r w:rsidRPr="00724014">
      <w:rPr>
        <w:rFonts w:ascii="Wingdings" w:hAnsi="Wingdings"/>
        <w:sz w:val="8"/>
        <w:szCs w:val="8"/>
      </w:rPr>
      <w:t></w:t>
    </w:r>
    <w:r w:rsidRPr="00856E80">
      <w:t xml:space="preserve"> T +33 1 42 98 95 00 </w:t>
    </w:r>
    <w:r w:rsidRPr="00724014">
      <w:rPr>
        <w:rFonts w:ascii="Wingdings" w:hAnsi="Wingdings"/>
        <w:sz w:val="8"/>
        <w:szCs w:val="8"/>
      </w:rPr>
      <w:t></w:t>
    </w:r>
    <w:r>
      <w:rPr>
        <w:rFonts w:ascii="Wingdings" w:hAnsi="Wingdings"/>
        <w:sz w:val="8"/>
        <w:szCs w:val="8"/>
      </w:rPr>
      <w:t></w:t>
    </w:r>
    <w:r w:rsidRPr="00856E80">
      <w:t>www.ccomptes.fr</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4CAFD" w14:textId="77777777" w:rsidR="009C0838" w:rsidRPr="00C05699" w:rsidRDefault="009C0838" w:rsidP="0025156E">
    <w:pPr>
      <w:pStyle w:val="Pieddepage"/>
    </w:pPr>
    <w:r w:rsidRPr="00856E80">
      <w:t xml:space="preserve">13, rue Cambon </w:t>
    </w:r>
    <w:r w:rsidRPr="00724014">
      <w:rPr>
        <w:rFonts w:ascii="Wingdings" w:hAnsi="Wingdings"/>
        <w:sz w:val="8"/>
        <w:szCs w:val="8"/>
      </w:rPr>
      <w:t></w:t>
    </w:r>
    <w:r w:rsidRPr="00856E80">
      <w:t xml:space="preserve"> 75100 PARIS CEDEX 01 </w:t>
    </w:r>
    <w:r w:rsidRPr="00724014">
      <w:rPr>
        <w:rFonts w:ascii="Wingdings" w:hAnsi="Wingdings"/>
        <w:sz w:val="8"/>
        <w:szCs w:val="8"/>
      </w:rPr>
      <w:t></w:t>
    </w:r>
    <w:r w:rsidRPr="00856E80">
      <w:t xml:space="preserve"> T +33 1 42 98 95 00 </w:t>
    </w:r>
    <w:r w:rsidRPr="00724014">
      <w:rPr>
        <w:rFonts w:ascii="Wingdings" w:hAnsi="Wingdings"/>
        <w:sz w:val="8"/>
        <w:szCs w:val="8"/>
      </w:rPr>
      <w:t></w:t>
    </w:r>
    <w:r>
      <w:rPr>
        <w:rFonts w:ascii="Wingdings" w:hAnsi="Wingdings"/>
        <w:sz w:val="8"/>
        <w:szCs w:val="8"/>
      </w:rPr>
      <w:t></w:t>
    </w:r>
    <w:r w:rsidRPr="00856E80">
      <w:t>www.ccomptes.fr</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7139661"/>
      <w:docPartObj>
        <w:docPartGallery w:val="Page Numbers (Bottom of Page)"/>
        <w:docPartUnique/>
      </w:docPartObj>
    </w:sdtPr>
    <w:sdtContent>
      <w:sdt>
        <w:sdtPr>
          <w:id w:val="757324396"/>
          <w:docPartObj>
            <w:docPartGallery w:val="Page Numbers (Bottom of Page)"/>
            <w:docPartUnique/>
          </w:docPartObj>
        </w:sdtPr>
        <w:sdtContent>
          <w:p w14:paraId="2654CB00" w14:textId="77777777" w:rsidR="009C0838" w:rsidRPr="003305D6" w:rsidRDefault="009C0838" w:rsidP="003305D6">
            <w:pPr>
              <w:pStyle w:val="Pieddepage"/>
              <w:rPr>
                <w:rStyle w:val="Numrodepage"/>
                <w:sz w:val="18"/>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15</w:t>
            </w:r>
            <w:r>
              <w:rPr>
                <w:rStyle w:val="Numrodepage"/>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89697C" w14:textId="77777777" w:rsidR="00C267D8" w:rsidRDefault="00C267D8" w:rsidP="00744CC0">
      <w:r>
        <w:separator/>
      </w:r>
    </w:p>
  </w:footnote>
  <w:footnote w:type="continuationSeparator" w:id="0">
    <w:p w14:paraId="3BB33E0F" w14:textId="77777777" w:rsidR="00C267D8" w:rsidRDefault="00C267D8" w:rsidP="00AB07BC">
      <w:pPr>
        <w:spacing w:before="0" w:after="0"/>
      </w:pPr>
      <w:r>
        <w:continuationSeparator/>
      </w:r>
    </w:p>
    <w:p w14:paraId="66609BFD" w14:textId="77777777" w:rsidR="00C267D8" w:rsidRDefault="00C267D8"/>
  </w:footnote>
  <w:footnote w:type="continuationNotice" w:id="1">
    <w:p w14:paraId="63670CC9" w14:textId="77777777" w:rsidR="00C267D8" w:rsidRDefault="00C267D8">
      <w:pPr>
        <w:spacing w:before="0" w:after="0"/>
      </w:pPr>
    </w:p>
  </w:footnote>
  <w:footnote w:id="2">
    <w:p w14:paraId="5269B4D7" w14:textId="1D13B1DE" w:rsidR="009C0838" w:rsidRDefault="009C0838">
      <w:pPr>
        <w:pStyle w:val="Notedebasdepage"/>
      </w:pPr>
      <w:r>
        <w:rPr>
          <w:rStyle w:val="Appelnotedebasdep"/>
        </w:rPr>
        <w:footnoteRef/>
      </w:r>
      <w:r>
        <w:t xml:space="preserve"> </w:t>
      </w:r>
      <w:r w:rsidRPr="000255B2">
        <w:t xml:space="preserve">L’outil HAL a été privilégié car il est ouvert, ce qui facilitera l’actualisation des données pour le pilotage et permettra leur reproductibilité par tous les acteurs quels que soient leurs moyens bibliométriques. En outre, HAL a l’immense avantage sur les outils bibliométriques existants de proposer des descripteurs des entités de recherche (référentiel HAL des structures) très détaillés et par construction adaptés au suivi du système de recherche français dans sa diversité, y compris pour les sites universitaires ainsi que les Outre-Mer. La couverture de HAL pour les travaux impliquant des laboratoires français cités par le GIEC, globalement satisfaisante, a pu être vérifiée de façon analytique avec l’ANR qui dispose d’un accès aux données brutes de « </w:t>
      </w:r>
      <w:r w:rsidRPr="000255B2">
        <w:rPr>
          <w:i/>
        </w:rPr>
        <w:t>Web of Science</w:t>
      </w:r>
      <w:r w:rsidRPr="000255B2">
        <w:t xml:space="preserve"> », base de données bibliométrique qui fait référence sur la scène internationale.</w:t>
      </w:r>
    </w:p>
  </w:footnote>
  <w:footnote w:id="3">
    <w:p w14:paraId="4286BA1B" w14:textId="65B229FF" w:rsidR="009C0838" w:rsidRDefault="009C0838">
      <w:pPr>
        <w:pStyle w:val="Notedebasdepage"/>
      </w:pPr>
      <w:r>
        <w:rPr>
          <w:rStyle w:val="Appelnotedebasdep"/>
        </w:rPr>
        <w:footnoteRef/>
      </w:r>
      <w:r>
        <w:t xml:space="preserve"> Les fichiers bibliographiques proposés par le GIEC sur son site renseignement l’année de publication, le journal de publication et le titre de la publication de façon suffisamment exhaustive pour nourrir les deux méthodes décrites. Seules les métadonnées correspondant aux citations harmonisées par la méthode décrite plus bas ont été retenues.</w:t>
      </w:r>
    </w:p>
  </w:footnote>
  <w:footnote w:id="4">
    <w:p w14:paraId="6B78200B" w14:textId="7F58408F" w:rsidR="009C0838" w:rsidRDefault="009C0838">
      <w:pPr>
        <w:pStyle w:val="Notedebasdepage"/>
      </w:pPr>
      <w:r>
        <w:rPr>
          <w:rStyle w:val="Appelnotedebasdep"/>
        </w:rPr>
        <w:footnoteRef/>
      </w:r>
      <w:r>
        <w:t xml:space="preserve"> Un article scientifique est publié dans un journal. À un journal donné va donc correspondre de nombreuses publications. Il est donc possible d’identifier avec précision les journaux qui publient le plus de travaux cités par le GIEC et chacun de ses trois groupes.</w:t>
      </w:r>
    </w:p>
  </w:footnote>
  <w:footnote w:id="5">
    <w:p w14:paraId="798321D2" w14:textId="1B56034D" w:rsidR="009C0838" w:rsidRDefault="009C0838">
      <w:pPr>
        <w:pStyle w:val="Notedebasdepage"/>
      </w:pPr>
      <w:r>
        <w:rPr>
          <w:rStyle w:val="Appelnotedebasdep"/>
        </w:rPr>
        <w:footnoteRef/>
      </w:r>
      <w:r>
        <w:t xml:space="preserve"> DOI signifie « </w:t>
      </w:r>
      <w:r w:rsidRPr="007D0254">
        <w:rPr>
          <w:i/>
        </w:rPr>
        <w:t xml:space="preserve">digital </w:t>
      </w:r>
      <w:proofErr w:type="spellStart"/>
      <w:r w:rsidRPr="007D0254">
        <w:rPr>
          <w:i/>
        </w:rPr>
        <w:t>object</w:t>
      </w:r>
      <w:proofErr w:type="spellEnd"/>
      <w:r w:rsidRPr="007D0254">
        <w:rPr>
          <w:i/>
        </w:rPr>
        <w:t xml:space="preserve"> identifier</w:t>
      </w:r>
      <w:r>
        <w:t xml:space="preserve"> », voir : </w:t>
      </w:r>
      <w:hyperlink r:id="rId1" w:history="1">
        <w:r w:rsidRPr="003217FF">
          <w:rPr>
            <w:rStyle w:val="Lienhypertexte"/>
          </w:rPr>
          <w:t>https://www.doi.org/</w:t>
        </w:r>
      </w:hyperlink>
      <w:r>
        <w:t xml:space="preserve"> </w:t>
      </w:r>
    </w:p>
  </w:footnote>
  <w:footnote w:id="6">
    <w:p w14:paraId="74549BAF" w14:textId="77364ADB" w:rsidR="009C0838" w:rsidRDefault="009C0838" w:rsidP="009C0838">
      <w:pPr>
        <w:pStyle w:val="Notedebasdepage"/>
      </w:pPr>
      <w:r>
        <w:rPr>
          <w:rStyle w:val="Appelnotedebasdep"/>
        </w:rPr>
        <w:footnoteRef/>
      </w:r>
      <w:r>
        <w:t xml:space="preserve"> Voir : </w:t>
      </w:r>
      <w:hyperlink r:id="rId2" w:history="1">
        <w:r w:rsidRPr="000973D6">
          <w:rPr>
            <w:rStyle w:val="Lienhypertexte"/>
          </w:rPr>
          <w:t>https://www.carbonbrief.org/guest-post-what-13500-citations-reveal-about-the-ipccs-climate-science-report/</w:t>
        </w:r>
      </w:hyperlink>
      <w:r>
        <w:t xml:space="preserve"> ainsi que les éléments méthodologiques rapportés dans </w:t>
      </w:r>
      <w:hyperlink r:id="rId3" w:history="1">
        <w:r w:rsidRPr="000973D6">
          <w:rPr>
            <w:rStyle w:val="Lienhypertexte"/>
          </w:rPr>
          <w:t>https://zenodo.org/records/7615825</w:t>
        </w:r>
      </w:hyperlink>
      <w:r w:rsidR="00E2374D">
        <w:t xml:space="preserve">. </w:t>
      </w:r>
    </w:p>
  </w:footnote>
  <w:footnote w:id="7">
    <w:p w14:paraId="05F5E6E9" w14:textId="108C5FB2" w:rsidR="009C0838" w:rsidRDefault="009C0838">
      <w:pPr>
        <w:pStyle w:val="Notedebasdepage"/>
      </w:pPr>
      <w:r>
        <w:rPr>
          <w:rStyle w:val="Appelnotedebasdep"/>
        </w:rPr>
        <w:footnoteRef/>
      </w:r>
      <w:r>
        <w:t xml:space="preserve"> Pour les annexes des rapports du GIEC, il a été observé que des fichiers BIB complémentaires sont proposés sur d’autres pages du site du GIEC (</w:t>
      </w:r>
      <w:hyperlink r:id="rId4" w:history="1">
        <w:r w:rsidRPr="003217FF">
          <w:rPr>
            <w:rStyle w:val="Lienhypertexte"/>
          </w:rPr>
          <w:t>https://www.ipcc.ch/report/ar6/wg1/downloads/</w:t>
        </w:r>
      </w:hyperlink>
      <w:r>
        <w:t xml:space="preserve">, </w:t>
      </w:r>
      <w:hyperlink r:id="rId5" w:history="1">
        <w:r w:rsidRPr="003217FF">
          <w:rPr>
            <w:rStyle w:val="Lienhypertexte"/>
          </w:rPr>
          <w:t>https://www.ipcc.ch/report/ar6/wg2/downloads/</w:t>
        </w:r>
      </w:hyperlink>
      <w:r>
        <w:t xml:space="preserve"> </w:t>
      </w:r>
      <w:hyperlink r:id="rId6" w:history="1">
        <w:r w:rsidRPr="003217FF">
          <w:rPr>
            <w:rStyle w:val="Lienhypertexte"/>
          </w:rPr>
          <w:t>https://www.ipcc.ch/report/ar6/wg3/downloads/</w:t>
        </w:r>
      </w:hyperlink>
      <w:r>
        <w:t>). Leur prise en compte n’a qu’une incidence mineure sur le nombre total de DOI uniques obtenus à l’issu des étapes d’harmonisation et de consolidation.</w:t>
      </w:r>
    </w:p>
  </w:footnote>
  <w:footnote w:id="8">
    <w:p w14:paraId="7AD09B0E" w14:textId="086AF031" w:rsidR="009C0838" w:rsidRPr="001174EB" w:rsidRDefault="009C0838">
      <w:pPr>
        <w:pStyle w:val="Notedebasdepage"/>
      </w:pPr>
      <w:r>
        <w:rPr>
          <w:rStyle w:val="Appelnotedebasdep"/>
        </w:rPr>
        <w:footnoteRef/>
      </w:r>
      <w:r w:rsidRPr="001174EB">
        <w:t xml:space="preserve"> </w:t>
      </w:r>
      <w:hyperlink r:id="rId7" w:history="1">
        <w:r w:rsidRPr="001174EB">
          <w:rPr>
            <w:rStyle w:val="Lienhypertexte"/>
          </w:rPr>
          <w:t>https://www.ipcc.ch/report/ar6/wg2/downloads/</w:t>
        </w:r>
      </w:hyperlink>
      <w:r w:rsidRPr="001174EB">
        <w:t xml:space="preserve"> (consulté</w:t>
      </w:r>
      <w:r>
        <w:t xml:space="preserve"> en juin 2023).</w:t>
      </w:r>
    </w:p>
  </w:footnote>
  <w:footnote w:id="9">
    <w:p w14:paraId="50680DAF" w14:textId="799995D2" w:rsidR="009C0838" w:rsidRDefault="009C0838">
      <w:pPr>
        <w:pStyle w:val="Notedebasdepage"/>
      </w:pPr>
      <w:r>
        <w:rPr>
          <w:rStyle w:val="Appelnotedebasdep"/>
        </w:rPr>
        <w:footnoteRef/>
      </w:r>
      <w:r>
        <w:t xml:space="preserve"> Voir par exemple : </w:t>
      </w:r>
      <w:hyperlink r:id="rId8" w:anchor="Export_from_reference_library_services" w:tgtFrame="_blank" w:history="1">
        <w:r>
          <w:rPr>
            <w:rStyle w:val="Lienhypertexte"/>
          </w:rPr>
          <w:t>https://www.overleaf.com/learn/latex/Bibliography_management_with_bibtex#Export_from_reference_library_services</w:t>
        </w:r>
      </w:hyperlink>
      <w:r>
        <w:t xml:space="preserve"> et </w:t>
      </w:r>
      <w:hyperlink r:id="rId9" w:tgtFrame="_blank" w:history="1">
        <w:r>
          <w:rPr>
            <w:rStyle w:val="Lienhypertexte"/>
          </w:rPr>
          <w:t>https://tex.stackexchange.com/questions/41821/creating-bib-file-containing-only-the-cited-references-of-a-bigger-bib-file</w:t>
        </w:r>
      </w:hyperlink>
    </w:p>
  </w:footnote>
  <w:footnote w:id="10">
    <w:p w14:paraId="0AA71C08" w14:textId="55452EE4" w:rsidR="009C0838" w:rsidRDefault="009C0838">
      <w:pPr>
        <w:pStyle w:val="Notedebasdepage"/>
      </w:pPr>
      <w:r>
        <w:rPr>
          <w:rStyle w:val="Appelnotedebasdep"/>
        </w:rPr>
        <w:footnoteRef/>
      </w:r>
      <w:r>
        <w:t xml:space="preserve"> Une alternative plus couvrante serait de prendre l’union mathématique entre les BIB et les PDF mais une approche homogène a ici été privilégiée.</w:t>
      </w:r>
    </w:p>
  </w:footnote>
  <w:footnote w:id="11">
    <w:p w14:paraId="692097DE" w14:textId="77777777" w:rsidR="009C0838" w:rsidRDefault="009C0838" w:rsidP="00954890">
      <w:pPr>
        <w:pStyle w:val="Notedebasdepage"/>
      </w:pPr>
      <w:r>
        <w:rPr>
          <w:rStyle w:val="Appelnotedebasdep"/>
        </w:rPr>
        <w:footnoteRef/>
      </w:r>
      <w:r>
        <w:t xml:space="preserve"> Les articles publiés dans les journaux multidisciplinaires font l’objet d’un processus de reclassification spécifique : </w:t>
      </w:r>
      <w:hyperlink r:id="rId10" w:history="1">
        <w:r w:rsidRPr="003217FF">
          <w:rPr>
            <w:rStyle w:val="Lienhypertexte"/>
          </w:rPr>
          <w:t>https://incites.help.clarivate.com/Content/Research-Areas/wos-reclass-papers-multidiscipline-journals.htm</w:t>
        </w:r>
      </w:hyperlink>
      <w:r>
        <w:t xml:space="preserve"> </w:t>
      </w:r>
    </w:p>
  </w:footnote>
  <w:footnote w:id="12">
    <w:p w14:paraId="226F0DB8" w14:textId="77777777" w:rsidR="009C0838" w:rsidRDefault="009C0838" w:rsidP="00954890">
      <w:pPr>
        <w:pStyle w:val="Notedebasdepage"/>
      </w:pPr>
      <w:r>
        <w:rPr>
          <w:rStyle w:val="Appelnotedebasdep"/>
        </w:rPr>
        <w:footnoteRef/>
      </w:r>
      <w:r>
        <w:t xml:space="preserve"> </w:t>
      </w:r>
      <w:hyperlink r:id="rId11" w:history="1">
        <w:r w:rsidRPr="003217FF">
          <w:rPr>
            <w:rStyle w:val="Lienhypertexte"/>
          </w:rPr>
          <w:t>https://incites.help.clarivate.com/Content/Research-Areas/wos-research-areas.htm</w:t>
        </w:r>
      </w:hyperlink>
      <w:r>
        <w:t xml:space="preserve"> </w:t>
      </w:r>
    </w:p>
  </w:footnote>
  <w:footnote w:id="13">
    <w:p w14:paraId="039F64B6" w14:textId="6CDBC947" w:rsidR="009C0838" w:rsidRPr="009442C3" w:rsidRDefault="009C0838">
      <w:pPr>
        <w:pStyle w:val="Notedebasdepage"/>
      </w:pPr>
      <w:r>
        <w:rPr>
          <w:rStyle w:val="Appelnotedebasdep"/>
        </w:rPr>
        <w:footnoteRef/>
      </w:r>
      <w:r w:rsidRPr="009442C3">
        <w:t xml:space="preserve"> Nalau et Verall (2021à) “Mapping the </w:t>
      </w:r>
      <w:proofErr w:type="spellStart"/>
      <w:r w:rsidRPr="009442C3">
        <w:t>evolution</w:t>
      </w:r>
      <w:proofErr w:type="spellEnd"/>
      <w:r w:rsidRPr="009442C3">
        <w:t xml:space="preserve"> and </w:t>
      </w:r>
      <w:proofErr w:type="spellStart"/>
      <w:r w:rsidRPr="009442C3">
        <w:t>current</w:t>
      </w:r>
      <w:proofErr w:type="spellEnd"/>
      <w:r w:rsidRPr="009442C3">
        <w:t xml:space="preserve"> trends in climate change adaptation science”, Climate Risk Management, </w:t>
      </w:r>
      <w:hyperlink r:id="rId12" w:history="1">
        <w:r w:rsidRPr="003217FF">
          <w:rPr>
            <w:rStyle w:val="Lienhypertexte"/>
          </w:rPr>
          <w:t>https://doi.org/10.1016/j.crm.2021.100290</w:t>
        </w:r>
      </w:hyperlink>
      <w:r>
        <w:t xml:space="preserve"> </w:t>
      </w:r>
    </w:p>
  </w:footnote>
  <w:footnote w:id="14">
    <w:p w14:paraId="22786C09" w14:textId="77777777" w:rsidR="009C0838" w:rsidRPr="00206A89" w:rsidRDefault="009C0838" w:rsidP="00BD2F9D">
      <w:pPr>
        <w:pStyle w:val="Notedebasdepage"/>
        <w:rPr>
          <w:lang w:val="en-US"/>
        </w:rPr>
      </w:pPr>
      <w:r>
        <w:rPr>
          <w:rStyle w:val="Appelnotedebasdep"/>
        </w:rPr>
        <w:footnoteRef/>
      </w:r>
      <w:r w:rsidRPr="00206A89">
        <w:rPr>
          <w:lang w:val="en-US"/>
        </w:rPr>
        <w:t xml:space="preserve"> </w:t>
      </w:r>
      <w:proofErr w:type="spellStart"/>
      <w:r w:rsidRPr="00206A89">
        <w:rPr>
          <w:lang w:val="en-US"/>
        </w:rPr>
        <w:t>Chapitre</w:t>
      </w:r>
      <w:proofErr w:type="spellEnd"/>
      <w:r w:rsidRPr="00206A89">
        <w:rPr>
          <w:lang w:val="en-US"/>
        </w:rPr>
        <w:t xml:space="preserve"> II_1, « </w:t>
      </w:r>
      <w:r w:rsidRPr="00206A89">
        <w:rPr>
          <w:i/>
          <w:lang w:val="en-US"/>
        </w:rPr>
        <w:t>Point of Departure and Key Concepts</w:t>
      </w:r>
      <w:r>
        <w:rPr>
          <w:lang w:val="en-US"/>
        </w:rPr>
        <w:t xml:space="preserve">”. </w:t>
      </w:r>
    </w:p>
  </w:footnote>
  <w:footnote w:id="15">
    <w:p w14:paraId="59F3EB9F" w14:textId="77777777" w:rsidR="009C0838" w:rsidRDefault="009C0838" w:rsidP="00145409">
      <w:pPr>
        <w:pStyle w:val="Notedebasdepage"/>
      </w:pPr>
      <w:r>
        <w:rPr>
          <w:rStyle w:val="Appelnotedebasdep"/>
        </w:rPr>
        <w:footnoteRef/>
      </w:r>
      <w:r>
        <w:t xml:space="preserve"> Un exemple en est donné par la mobilisation de méthodes de sélection variétale pour obtenir des plantes davantage résistantes à des stress couramment associés au changement climatique (stress hydrique et thermique accrus, tant « en moyenne » que lors d’évènements extrêmes). </w:t>
      </w:r>
    </w:p>
  </w:footnote>
  <w:footnote w:id="16">
    <w:p w14:paraId="7DA31597" w14:textId="77777777" w:rsidR="009C0838" w:rsidRDefault="009C0838" w:rsidP="00145409">
      <w:pPr>
        <w:pStyle w:val="Notedebasdepage"/>
      </w:pPr>
      <w:r>
        <w:rPr>
          <w:rStyle w:val="Appelnotedebasdep"/>
        </w:rPr>
        <w:footnoteRef/>
      </w:r>
      <w:r>
        <w:t xml:space="preserve"> Sous la forme de l’expression régulière « cop* with ».</w:t>
      </w:r>
    </w:p>
  </w:footnote>
  <w:footnote w:id="17">
    <w:p w14:paraId="0B667D8E" w14:textId="77777777" w:rsidR="009C0838" w:rsidRDefault="009C0838" w:rsidP="00A459F2">
      <w:pPr>
        <w:pStyle w:val="Notedebasdepage"/>
      </w:pPr>
      <w:r>
        <w:rPr>
          <w:rStyle w:val="Appelnotedebasdep"/>
        </w:rPr>
        <w:footnoteRef/>
      </w:r>
      <w:r>
        <w:t xml:space="preserve"> La terminologie a été reprise de HAL : </w:t>
      </w:r>
      <w:hyperlink r:id="rId13" w:history="1">
        <w:r w:rsidRPr="002428FA">
          <w:rPr>
            <w:rStyle w:val="Lienhypertexte"/>
          </w:rPr>
          <w:t>https://hal.science/browse/domain</w:t>
        </w:r>
      </w:hyperlink>
      <w:r>
        <w:t xml:space="preserve"> </w:t>
      </w:r>
    </w:p>
  </w:footnote>
  <w:footnote w:id="18">
    <w:p w14:paraId="0353890D" w14:textId="77B19E0A" w:rsidR="009C0838" w:rsidRDefault="009C0838">
      <w:pPr>
        <w:pStyle w:val="Notedebasdepage"/>
      </w:pPr>
      <w:r>
        <w:rPr>
          <w:rStyle w:val="Appelnotedebasdep"/>
        </w:rPr>
        <w:footnoteRef/>
      </w:r>
      <w:r>
        <w:t xml:space="preserve"> « </w:t>
      </w:r>
      <w:r w:rsidRPr="006D7507">
        <w:rPr>
          <w:i/>
        </w:rPr>
        <w:t>Cette équation [(Nalau et Verall)] a permis d'analyser de manière succincte mais néanmoins satisfaisante notre production dans ce domaine […]. À noter toutefois que quelques publications identifiées par cette requête relèvent davantage de recherches sur les impacts du changement climatique que sur l'adaptation à proprement parler.</w:t>
      </w:r>
      <w:r>
        <w:t> » source : réponse de l’Inraé au questionnaire général de la Cour.</w:t>
      </w:r>
    </w:p>
  </w:footnote>
  <w:footnote w:id="19">
    <w:p w14:paraId="7ADAB056" w14:textId="46C996A4" w:rsidR="009C0838" w:rsidRDefault="009C0838">
      <w:pPr>
        <w:pStyle w:val="Notedebasdepage"/>
      </w:pPr>
      <w:r>
        <w:rPr>
          <w:rStyle w:val="Appelnotedebasdep"/>
        </w:rPr>
        <w:footnoteRef/>
      </w:r>
      <w:r>
        <w:t xml:space="preserve"> Voir : </w:t>
      </w:r>
      <w:hyperlink r:id="rId14" w:history="1">
        <w:r w:rsidRPr="00102296">
          <w:rPr>
            <w:rStyle w:val="Lienhypertexte"/>
          </w:rPr>
          <w:t>https://agritrop.cirad.fr/id/saved_search/2154</w:t>
        </w:r>
      </w:hyperlink>
      <w:r>
        <w:t xml:space="preserve"> </w:t>
      </w:r>
    </w:p>
  </w:footnote>
  <w:footnote w:id="20">
    <w:p w14:paraId="7F8FEFCC" w14:textId="122CEFA3" w:rsidR="009C0838" w:rsidRDefault="009C0838" w:rsidP="009A0633">
      <w:pPr>
        <w:pStyle w:val="Notedebasdepage"/>
      </w:pPr>
      <w:r>
        <w:rPr>
          <w:rStyle w:val="Appelnotedebasdep"/>
        </w:rPr>
        <w:footnoteRef/>
      </w:r>
      <w:r>
        <w:t xml:space="preserve"> Pour le périmètre scientifique couvert par l’e</w:t>
      </w:r>
      <w:r w:rsidRPr="00E234CC">
        <w:t>nsemble des groupes du GIEC</w:t>
      </w:r>
      <w:r>
        <w:t xml:space="preserve">, la France se situe </w:t>
      </w:r>
      <w:r w:rsidRPr="00E234CC">
        <w:t xml:space="preserve">derrière les Etats-Unis, le </w:t>
      </w:r>
      <w:r>
        <w:t xml:space="preserve">Royaume-Uni, </w:t>
      </w:r>
      <w:r w:rsidRPr="00E234CC">
        <w:t>l’</w:t>
      </w:r>
      <w:r>
        <w:t xml:space="preserve">Allemagne, l’Australie et </w:t>
      </w:r>
      <w:r w:rsidRPr="00E234CC">
        <w:t>la Chine</w:t>
      </w:r>
      <w:r>
        <w:t>.</w:t>
      </w:r>
    </w:p>
  </w:footnote>
  <w:footnote w:id="21">
    <w:p w14:paraId="4FEF599F" w14:textId="7CED4E56" w:rsidR="009C0838" w:rsidRDefault="009C0838" w:rsidP="009A0633">
      <w:pPr>
        <w:pStyle w:val="Notedebasdepage"/>
      </w:pPr>
      <w:r>
        <w:rPr>
          <w:rStyle w:val="Appelnotedebasdep"/>
        </w:rPr>
        <w:footnoteRef/>
      </w:r>
      <w:r>
        <w:t xml:space="preserve"> Pour ce groupe, la France est positionnée derrière</w:t>
      </w:r>
      <w:r w:rsidRPr="00E234CC">
        <w:t xml:space="preserve"> les Etats-Unis, le Royaume-Uni et l’</w:t>
      </w:r>
      <w:r>
        <w:t>Allemagne.</w:t>
      </w:r>
    </w:p>
  </w:footnote>
  <w:footnote w:id="22">
    <w:p w14:paraId="2C4E13FC" w14:textId="32B92D21" w:rsidR="009C0838" w:rsidRDefault="009C0838" w:rsidP="009A0633">
      <w:pPr>
        <w:pStyle w:val="Notedebasdepage"/>
      </w:pPr>
      <w:r>
        <w:rPr>
          <w:rStyle w:val="Appelnotedebasdep"/>
        </w:rPr>
        <w:footnoteRef/>
      </w:r>
      <w:r>
        <w:t xml:space="preserve"> Pour ce qui concerne ce groupe, la France se situe d</w:t>
      </w:r>
      <w:r w:rsidRPr="00B81E41">
        <w:t xml:space="preserve">errière les Etats-Unis, le </w:t>
      </w:r>
      <w:r>
        <w:t>Royaume-Uni,</w:t>
      </w:r>
      <w:r w:rsidRPr="00B81E41">
        <w:t xml:space="preserve"> </w:t>
      </w:r>
      <w:r>
        <w:t>l’Australie, l’Allemagne, le Canada et les Pays-Bas.</w:t>
      </w:r>
    </w:p>
  </w:footnote>
  <w:footnote w:id="23">
    <w:p w14:paraId="4A61819D" w14:textId="0835076D" w:rsidR="009C0838" w:rsidRDefault="009C0838" w:rsidP="009A0633">
      <w:pPr>
        <w:pStyle w:val="Notedebasdepage"/>
      </w:pPr>
      <w:r>
        <w:rPr>
          <w:rStyle w:val="Appelnotedebasdep"/>
        </w:rPr>
        <w:footnoteRef/>
      </w:r>
      <w:r>
        <w:t xml:space="preserve"> S’agissant de l’atténuation, la France est positionnée derrière les Etats-Unis, le Royaume-Uni, l’Allemagne, les Pays-Bas, la Chine, l’Australie, le Canada, la Suède, l’Italie et l’Autriche.</w:t>
      </w:r>
    </w:p>
  </w:footnote>
  <w:footnote w:id="24">
    <w:p w14:paraId="24EF3196" w14:textId="77777777" w:rsidR="009C0838" w:rsidRDefault="009C0838" w:rsidP="00781CA0">
      <w:pPr>
        <w:pStyle w:val="Notedebasdepage"/>
      </w:pPr>
      <w:r>
        <w:rPr>
          <w:rStyle w:val="Appelnotedebasdep"/>
        </w:rPr>
        <w:footnoteRef/>
      </w:r>
      <w:r>
        <w:t xml:space="preserve"> Le</w:t>
      </w:r>
      <w:r w:rsidRPr="00051D99">
        <w:t xml:space="preserve"> répertoire national des structures de recherche (RNSR</w:t>
      </w:r>
      <w:r>
        <w:t xml:space="preserve">) </w:t>
      </w:r>
      <w:r w:rsidRPr="00051D99">
        <w:t>ne précise pas le détail des effectifs par établissement des laboratoires.</w:t>
      </w:r>
    </w:p>
  </w:footnote>
  <w:footnote w:id="25">
    <w:p w14:paraId="25EBD309" w14:textId="77777777" w:rsidR="009C0838" w:rsidRPr="00065AF8" w:rsidRDefault="009C0838" w:rsidP="009E5E2B">
      <w:pPr>
        <w:pStyle w:val="Notedebasdepage"/>
      </w:pPr>
      <w:r>
        <w:rPr>
          <w:rStyle w:val="Appelnotedebasdep"/>
        </w:rPr>
        <w:footnoteRef/>
      </w:r>
      <w:r w:rsidRPr="00065AF8">
        <w:t xml:space="preserve"> </w:t>
      </w:r>
      <w:r>
        <w:t>À</w:t>
      </w:r>
      <w:r w:rsidRPr="00647C5A">
        <w:t xml:space="preserve"> concurrence de 13,3 M€ de financements de base apportés par l’État fédéral et le Lander ainsi que de 18,2 M€ de fonds propres</w:t>
      </w:r>
      <w:r>
        <w:t>. Voir le rapport 2022 du PIK (</w:t>
      </w:r>
      <w:hyperlink r:id="rId15" w:history="1">
        <w:r w:rsidRPr="00A97956">
          <w:rPr>
            <w:rStyle w:val="Lienhypertexte"/>
          </w:rPr>
          <w:t>https://www.pik-potsdam.de/de/produkte/publikationen/sachberichte/sachbericht-2022</w:t>
        </w:r>
      </w:hyperlink>
      <w:r>
        <w:t>).</w:t>
      </w:r>
      <w:r w:rsidRPr="00065AF8">
        <w:t xml:space="preserve"> </w:t>
      </w:r>
    </w:p>
  </w:footnote>
  <w:footnote w:id="26">
    <w:p w14:paraId="630BD5C3" w14:textId="77777777" w:rsidR="009C0838" w:rsidRDefault="009C0838" w:rsidP="009E5E2B">
      <w:pPr>
        <w:pStyle w:val="Notedebasdepage"/>
      </w:pPr>
      <w:r>
        <w:rPr>
          <w:rStyle w:val="Appelnotedebasdep"/>
        </w:rPr>
        <w:footnoteRef/>
      </w:r>
      <w:r>
        <w:t xml:space="preserve"> </w:t>
      </w:r>
      <w:hyperlink r:id="rId16" w:history="1">
        <w:r w:rsidRPr="00093646">
          <w:rPr>
            <w:rStyle w:val="Lienhypertexte"/>
          </w:rPr>
          <w:t>https://www.isimip.org/</w:t>
        </w:r>
      </w:hyperlink>
      <w:r>
        <w:t xml:space="preserve"> </w:t>
      </w:r>
    </w:p>
  </w:footnote>
  <w:footnote w:id="27">
    <w:p w14:paraId="58147D58" w14:textId="77777777" w:rsidR="009C0838" w:rsidRDefault="009C0838" w:rsidP="009E5E2B">
      <w:pPr>
        <w:pStyle w:val="Notedebasdepage"/>
      </w:pPr>
      <w:r>
        <w:rPr>
          <w:rStyle w:val="Appelnotedebasdep"/>
        </w:rPr>
        <w:footnoteRef/>
      </w:r>
      <w:r>
        <w:t xml:space="preserve"> </w:t>
      </w:r>
      <w:hyperlink r:id="rId17" w:history="1">
        <w:r w:rsidRPr="00093646">
          <w:rPr>
            <w:rStyle w:val="Lienhypertexte"/>
          </w:rPr>
          <w:t>https://www.isimip.org/isipedia/</w:t>
        </w:r>
      </w:hyperlink>
      <w:r>
        <w:t xml:space="preserve"> et </w:t>
      </w:r>
      <w:hyperlink r:id="rId18" w:history="1">
        <w:r w:rsidRPr="00093646">
          <w:rPr>
            <w:rStyle w:val="Lienhypertexte"/>
          </w:rPr>
          <w:t>https://www.isipedia.org/</w:t>
        </w:r>
      </w:hyperlink>
      <w:r>
        <w:t xml:space="preserve"> </w:t>
      </w:r>
    </w:p>
  </w:footnote>
  <w:footnote w:id="28">
    <w:p w14:paraId="496EAF9D" w14:textId="77777777" w:rsidR="009C0838" w:rsidRDefault="009C0838" w:rsidP="00902529">
      <w:pPr>
        <w:pStyle w:val="Notedebasdepage"/>
      </w:pPr>
      <w:r>
        <w:rPr>
          <w:rStyle w:val="Appelnotedebasdep"/>
        </w:rPr>
        <w:footnoteRef/>
      </w:r>
      <w:r>
        <w:t xml:space="preserve"> 79 % des entités internationales présentent un indice maximal de 100 % dans le jeu de données analysé. Un test statistique non-paramétrique confirme la très forte association négative entre spécialisation et nombre de citation (coefficient de corrélation de Spearman</w:t>
      </w:r>
      <w:r w:rsidRPr="0012066F">
        <w:t xml:space="preserve"> -0.69</w:t>
      </w:r>
      <w:r>
        <w:t xml:space="preserve"> avec une p-valeur négligeable).  </w:t>
      </w:r>
    </w:p>
  </w:footnote>
  <w:footnote w:id="29">
    <w:p w14:paraId="10CCAFA1" w14:textId="77777777" w:rsidR="009C0838" w:rsidRDefault="009C0838" w:rsidP="007F64EA">
      <w:pPr>
        <w:pStyle w:val="Notedebasdepage"/>
      </w:pPr>
      <w:r>
        <w:rPr>
          <w:rStyle w:val="Appelnotedebasdep"/>
        </w:rPr>
        <w:footnoteRef/>
      </w:r>
      <w:r>
        <w:t xml:space="preserve"> Par exemple,</w:t>
      </w:r>
      <w:r w:rsidRPr="00F71747">
        <w:t xml:space="preserve"> </w:t>
      </w:r>
      <w:r>
        <w:t>l’école nationale des ponts et chaussées et EDF exercent une responsabilité partagée sur deux laboratoires qui conduisent des études en lien avec l’adaptation : le l</w:t>
      </w:r>
      <w:r w:rsidRPr="00F71747">
        <w:t>aboratoire d'</w:t>
      </w:r>
      <w:r>
        <w:t>h</w:t>
      </w:r>
      <w:r w:rsidRPr="00F71747">
        <w:t>ydraulique Saint-Venant</w:t>
      </w:r>
      <w:r>
        <w:t xml:space="preserve"> (LHSV) ainsi que le c</w:t>
      </w:r>
      <w:r w:rsidRPr="00F71747">
        <w:t>entre d'</w:t>
      </w:r>
      <w:r>
        <w:t>e</w:t>
      </w:r>
      <w:r w:rsidRPr="00F71747">
        <w:t xml:space="preserve">nseignement et de </w:t>
      </w:r>
      <w:r>
        <w:t>r</w:t>
      </w:r>
      <w:r w:rsidRPr="00F71747">
        <w:t xml:space="preserve">echerche en </w:t>
      </w:r>
      <w:r>
        <w:t>e</w:t>
      </w:r>
      <w:r w:rsidRPr="00F71747">
        <w:t xml:space="preserve">nvironnement </w:t>
      </w:r>
      <w:r>
        <w:t>a</w:t>
      </w:r>
      <w:r w:rsidRPr="00F71747">
        <w:t>tmosphérique</w:t>
      </w:r>
      <w:r>
        <w:t xml:space="preserve"> (</w:t>
      </w:r>
      <w:proofErr w:type="spellStart"/>
      <w:r w:rsidRPr="00F71747">
        <w:t>Cerea</w:t>
      </w:r>
      <w:proofErr w:type="spellEnd"/>
      <w:r>
        <w:t xml:space="preserve">). Le </w:t>
      </w:r>
      <w:proofErr w:type="spellStart"/>
      <w:r>
        <w:t>Cerea</w:t>
      </w:r>
      <w:proofErr w:type="spellEnd"/>
      <w:r>
        <w:t xml:space="preserve"> est par ailleurs membre de l’IPSL, la fédération de recherche française la plus active dans les sciences du climat d’après les analyses scientométriques de la Cour.</w:t>
      </w:r>
    </w:p>
  </w:footnote>
  <w:footnote w:id="30">
    <w:p w14:paraId="177A78F3" w14:textId="77777777" w:rsidR="009C0838" w:rsidRDefault="009C0838" w:rsidP="007F64EA">
      <w:pPr>
        <w:pStyle w:val="Notedebasdepage"/>
      </w:pPr>
      <w:r>
        <w:rPr>
          <w:rStyle w:val="Appelnotedebasdep"/>
        </w:rPr>
        <w:footnoteRef/>
      </w:r>
      <w:r>
        <w:t xml:space="preserve"> Au-delà de son programme de soutien aux thèses, la Cour a pu observer lors de ses échanges avec </w:t>
      </w:r>
      <w:proofErr w:type="spellStart"/>
      <w:r>
        <w:t>l’Ademe</w:t>
      </w:r>
      <w:proofErr w:type="spellEnd"/>
      <w:r>
        <w:t xml:space="preserve"> qu’elle finance également, notamment dans le cadre des investissements d’avenir, des projets de recherche et développement pour l’adaptation plus finalisés permettant de passer des connaissances vers des applications opérationnelles, ainsi que des entreprises innovantes en lien avec </w:t>
      </w:r>
      <w:proofErr w:type="spellStart"/>
      <w:r>
        <w:t>BpiFrance</w:t>
      </w:r>
      <w:proofErr w:type="spellEnd"/>
      <w:r>
        <w:t>.</w:t>
      </w:r>
    </w:p>
  </w:footnote>
  <w:footnote w:id="31">
    <w:p w14:paraId="006936BA" w14:textId="77777777" w:rsidR="009C0838" w:rsidRPr="00537112" w:rsidRDefault="009C0838" w:rsidP="00976CDC">
      <w:pPr>
        <w:pStyle w:val="Notedebasdepage"/>
      </w:pPr>
      <w:r>
        <w:rPr>
          <w:rStyle w:val="Appelnotedebasdep"/>
        </w:rPr>
        <w:footnoteRef/>
      </w:r>
      <w:r w:rsidRPr="00537112">
        <w:t xml:space="preserve"> Voir </w:t>
      </w:r>
      <w:r>
        <w:t xml:space="preserve">le </w:t>
      </w:r>
      <w:r w:rsidRPr="00537112">
        <w:t>chapitre « </w:t>
      </w:r>
      <w:proofErr w:type="spellStart"/>
      <w:r w:rsidRPr="000771C4">
        <w:rPr>
          <w:i/>
        </w:rPr>
        <w:t>Health</w:t>
      </w:r>
      <w:proofErr w:type="spellEnd"/>
      <w:r w:rsidRPr="000771C4">
        <w:rPr>
          <w:i/>
        </w:rPr>
        <w:t xml:space="preserve">, </w:t>
      </w:r>
      <w:proofErr w:type="spellStart"/>
      <w:r w:rsidRPr="000771C4">
        <w:rPr>
          <w:i/>
        </w:rPr>
        <w:t>wellbeing</w:t>
      </w:r>
      <w:proofErr w:type="spellEnd"/>
      <w:r w:rsidRPr="000771C4">
        <w:rPr>
          <w:i/>
        </w:rPr>
        <w:t xml:space="preserve"> and the </w:t>
      </w:r>
      <w:proofErr w:type="spellStart"/>
      <w:r w:rsidRPr="000771C4">
        <w:rPr>
          <w:i/>
        </w:rPr>
        <w:t>changing</w:t>
      </w:r>
      <w:proofErr w:type="spellEnd"/>
      <w:r w:rsidRPr="000771C4">
        <w:rPr>
          <w:i/>
        </w:rPr>
        <w:t xml:space="preserve"> structure of </w:t>
      </w:r>
      <w:proofErr w:type="spellStart"/>
      <w:r w:rsidRPr="000771C4">
        <w:rPr>
          <w:i/>
        </w:rPr>
        <w:t>communities</w:t>
      </w:r>
      <w:proofErr w:type="spellEnd"/>
      <w:r w:rsidRPr="00537112">
        <w:t xml:space="preserve"> » du </w:t>
      </w:r>
      <w:r>
        <w:t xml:space="preserve">rapport détaillé du </w:t>
      </w:r>
      <w:r w:rsidRPr="00537112">
        <w:t xml:space="preserve">deuxième groupe du </w:t>
      </w:r>
      <w:r>
        <w:t>GIEC (2022).</w:t>
      </w:r>
    </w:p>
  </w:footnote>
  <w:footnote w:id="32">
    <w:p w14:paraId="7C3AADD5" w14:textId="331579CC" w:rsidR="009C0838" w:rsidRPr="009C697D" w:rsidRDefault="009C0838">
      <w:pPr>
        <w:pStyle w:val="Notedebasdepage"/>
        <w:rPr>
          <w:lang w:val="en-US"/>
        </w:rPr>
      </w:pPr>
      <w:r>
        <w:rPr>
          <w:rStyle w:val="Appelnotedebasdep"/>
        </w:rPr>
        <w:footnoteRef/>
      </w:r>
      <w:r w:rsidRPr="00E37462">
        <w:rPr>
          <w:lang w:val="en-US"/>
        </w:rPr>
        <w:t xml:space="preserve"> </w:t>
      </w:r>
      <w:proofErr w:type="spellStart"/>
      <w:proofErr w:type="gramStart"/>
      <w:r w:rsidRPr="00E37462">
        <w:rPr>
          <w:lang w:val="en-US"/>
        </w:rPr>
        <w:t>Voir</w:t>
      </w:r>
      <w:proofErr w:type="spellEnd"/>
      <w:r w:rsidRPr="00E37462">
        <w:rPr>
          <w:lang w:val="en-US"/>
        </w:rPr>
        <w:t> :</w:t>
      </w:r>
      <w:proofErr w:type="gramEnd"/>
      <w:r w:rsidRPr="00E37462">
        <w:rPr>
          <w:lang w:val="en-US"/>
        </w:rPr>
        <w:t xml:space="preserve"> </w:t>
      </w:r>
      <w:proofErr w:type="spellStart"/>
      <w:r w:rsidRPr="00E37462">
        <w:rPr>
          <w:lang w:val="en-US"/>
        </w:rPr>
        <w:t>Dorogovtsev</w:t>
      </w:r>
      <w:proofErr w:type="spellEnd"/>
      <w:r w:rsidRPr="00E37462">
        <w:rPr>
          <w:lang w:val="en-US"/>
        </w:rPr>
        <w:t xml:space="preserve"> et al. </w:t>
      </w:r>
      <w:r w:rsidRPr="009C697D">
        <w:rPr>
          <w:lang w:val="en-US"/>
        </w:rPr>
        <w:t>(2001), «</w:t>
      </w:r>
      <w:r w:rsidRPr="009C697D">
        <w:rPr>
          <w:i/>
          <w:lang w:val="en-US"/>
        </w:rPr>
        <w:t>Giant strongly connected component of directed networks »</w:t>
      </w:r>
      <w:r w:rsidRPr="009C697D">
        <w:rPr>
          <w:lang w:val="en-US"/>
        </w:rPr>
        <w:t xml:space="preserve"> </w:t>
      </w:r>
      <w:r>
        <w:rPr>
          <w:lang w:val="en-US"/>
        </w:rPr>
        <w:t xml:space="preserve">Physical review E, </w:t>
      </w:r>
      <w:hyperlink r:id="rId19" w:history="1">
        <w:r w:rsidRPr="00315D81">
          <w:rPr>
            <w:rStyle w:val="Lienhypertexte"/>
            <w:lang w:val="en-US"/>
          </w:rPr>
          <w:t>https://journals.aps.org/pre/abstract/10.1103/PhysRevE.64.025101</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4CAF7" w14:textId="19C7E44C" w:rsidR="009C0838" w:rsidRPr="00B21475" w:rsidRDefault="009C0838" w:rsidP="007C5E4C">
    <w:pPr>
      <w:pStyle w:val="En-tte"/>
      <w:rPr>
        <w:noProof/>
      </w:rPr>
    </w:pPr>
    <w:r>
      <w:fldChar w:fldCharType="begin"/>
    </w:r>
    <w:r w:rsidRPr="00B21475">
      <w:instrText xml:space="preserve"> STYLEREF  "TITRE DU RAPPORT (ROP)" </w:instrText>
    </w:r>
    <w:r>
      <w:fldChar w:fldCharType="separate"/>
    </w:r>
    <w:r>
      <w:rPr>
        <w:b/>
        <w:bCs/>
        <w:noProof/>
      </w:rPr>
      <w:t>Erreur ! Utilisez l'onglet Accueil pour appliquer TITRE DU RAPPORT (ROP) au texte que vous souhaitez faire apparaître ici.</w:t>
    </w:r>
    <w:r>
      <w:rPr>
        <w:noProof/>
      </w:rPr>
      <w:fldChar w:fldCharType="end"/>
    </w:r>
  </w:p>
  <w:p w14:paraId="2654CAF8" w14:textId="77777777" w:rsidR="009C0838" w:rsidRPr="00DE7B6B" w:rsidRDefault="009C0838" w:rsidP="007C5E4C">
    <w:pPr>
      <w:pStyle w:val="En-tte"/>
      <w:rPr>
        <w:color w:val="FF0000"/>
      </w:rPr>
    </w:pPr>
    <w:r w:rsidRPr="00EC6776">
      <w:rPr>
        <w:color w:val="C00000"/>
      </w:rPr>
      <w:t>Document provisoire et confidentiel en cours de contradiction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4CAF9" w14:textId="77777777" w:rsidR="009C0838" w:rsidRPr="00AB3A4C" w:rsidRDefault="009C0838" w:rsidP="00EC6776">
    <w:pPr>
      <w:pStyle w:val="En-tte"/>
      <w:spacing w:line="1920" w:lineRule="auto"/>
      <w:jc w:val="left"/>
    </w:pPr>
    <w:r w:rsidRPr="00152505">
      <w:rPr>
        <w:noProof/>
      </w:rPr>
      <w:drawing>
        <wp:anchor distT="0" distB="0" distL="114300" distR="114300" simplePos="0" relativeHeight="251658241" behindDoc="1" locked="1" layoutInCell="1" allowOverlap="1" wp14:anchorId="2654CB04" wp14:editId="2654CB05">
          <wp:simplePos x="0" y="0"/>
          <wp:positionH relativeFrom="page">
            <wp:align>left</wp:align>
          </wp:positionH>
          <wp:positionV relativeFrom="page">
            <wp:posOffset>360045</wp:posOffset>
          </wp:positionV>
          <wp:extent cx="4366800" cy="1069200"/>
          <wp:effectExtent l="0" t="0" r="0" b="0"/>
          <wp:wrapNone/>
          <wp:docPr id="26" name="Logo_Hide">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Logo_Hide">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rcRect l="4763" t="22878" r="42863"/>
                  <a:stretch>
                    <a:fillRect/>
                  </a:stretch>
                </pic:blipFill>
                <pic:spPr>
                  <a:xfrm>
                    <a:off x="0" y="0"/>
                    <a:ext cx="4366800" cy="1069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4CAFE" w14:textId="461E040D" w:rsidR="009C0838" w:rsidRDefault="009C0838" w:rsidP="00E41294">
    <w:pPr>
      <w:pStyle w:val="En-tte"/>
      <w:rPr>
        <w:noProof/>
      </w:rPr>
    </w:pPr>
    <w:r>
      <w:fldChar w:fldCharType="begin"/>
    </w:r>
    <w:r>
      <w:instrText xml:space="preserve"> STYLEREF  "</w:instrText>
    </w:r>
    <w:r w:rsidRPr="00244BA6">
      <w:instrText>Titre du rapport</w:instrText>
    </w:r>
    <w:r>
      <w:instrText xml:space="preserve">" </w:instrText>
    </w:r>
    <w:r>
      <w:fldChar w:fldCharType="separate"/>
    </w:r>
    <w:r w:rsidR="00B2540A">
      <w:rPr>
        <w:noProof/>
      </w:rPr>
      <w:t>La place et le rôle de la recherche publique dans l’adaptation au changement climatique</w:t>
    </w:r>
    <w:r>
      <w:rPr>
        <w:noProof/>
      </w:rPr>
      <w:fldChar w:fldCharType="end"/>
    </w:r>
  </w:p>
  <w:p w14:paraId="2654CAFF" w14:textId="05903850" w:rsidR="009C0838" w:rsidRPr="00E606F8" w:rsidRDefault="009C0838" w:rsidP="00587A35">
    <w:pPr>
      <w:pStyle w:val="En-tte"/>
      <w:rPr>
        <w:noProof/>
      </w:rPr>
    </w:pPr>
    <w:r>
      <w:rPr>
        <w:caps w:val="0"/>
        <w:noProof/>
      </w:rPr>
      <w:t>C</w:t>
    </w:r>
    <w:r w:rsidRPr="00EB3A89">
      <w:rPr>
        <w:caps w:val="0"/>
        <w:noProof/>
      </w:rPr>
      <w:t xml:space="preserve">ahier </w:t>
    </w:r>
    <w:r>
      <w:rPr>
        <w:caps w:val="0"/>
        <w:noProof/>
      </w:rPr>
      <w:t>relatif aux méthodes et données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4CB01" w14:textId="77777777" w:rsidR="009C0838" w:rsidRPr="00C05699" w:rsidRDefault="009C0838" w:rsidP="00C0569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84308F9C"/>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673265A2"/>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471C7B5C"/>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2F3C892A"/>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6BA63A30"/>
    <w:lvl w:ilvl="0">
      <w:start w:val="1"/>
      <w:numFmt w:val="bullet"/>
      <w:pStyle w:val="Listepuce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A2D918"/>
    <w:lvl w:ilvl="0">
      <w:start w:val="1"/>
      <w:numFmt w:val="bullet"/>
      <w:pStyle w:val="Listepuces4"/>
      <w:lvlText w:val=""/>
      <w:lvlJc w:val="left"/>
      <w:pPr>
        <w:tabs>
          <w:tab w:val="num" w:pos="1209"/>
        </w:tabs>
        <w:ind w:left="1209" w:hanging="360"/>
      </w:pPr>
      <w:rPr>
        <w:rFonts w:ascii="Symbol" w:hAnsi="Symbol" w:hint="default"/>
      </w:rPr>
    </w:lvl>
  </w:abstractNum>
  <w:abstractNum w:abstractNumId="6" w15:restartNumberingAfterBreak="0">
    <w:nsid w:val="FFFFFF88"/>
    <w:multiLevelType w:val="singleLevel"/>
    <w:tmpl w:val="D49029A2"/>
    <w:lvl w:ilvl="0">
      <w:start w:val="1"/>
      <w:numFmt w:val="decimal"/>
      <w:pStyle w:val="Listenumros"/>
      <w:lvlText w:val="%1."/>
      <w:lvlJc w:val="left"/>
      <w:pPr>
        <w:tabs>
          <w:tab w:val="num" w:pos="360"/>
        </w:tabs>
        <w:ind w:left="360" w:hanging="360"/>
      </w:pPr>
    </w:lvl>
  </w:abstractNum>
  <w:abstractNum w:abstractNumId="7" w15:restartNumberingAfterBreak="0">
    <w:nsid w:val="00E74DF6"/>
    <w:multiLevelType w:val="hybridMultilevel"/>
    <w:tmpl w:val="30D6EC9E"/>
    <w:lvl w:ilvl="0" w:tplc="A8F2D7CC">
      <w:start w:val="1"/>
      <w:numFmt w:val="none"/>
      <w:pStyle w:val="ContradictionNON"/>
      <w:lvlText w:val="Non destiné à la contradiction"/>
      <w:lvlJc w:val="right"/>
      <w:pPr>
        <w:tabs>
          <w:tab w:val="num" w:pos="0"/>
        </w:tabs>
        <w:ind w:left="0" w:firstLine="0"/>
      </w:pPr>
      <w:rPr>
        <w:rFonts w:hint="default"/>
      </w:rPr>
    </w:lvl>
    <w:lvl w:ilvl="1" w:tplc="040C0019" w:tentative="1">
      <w:start w:val="1"/>
      <w:numFmt w:val="lowerLetter"/>
      <w:lvlText w:val="%2."/>
      <w:lvlJc w:val="left"/>
      <w:pPr>
        <w:tabs>
          <w:tab w:val="num" w:pos="2149"/>
        </w:tabs>
        <w:ind w:left="2149" w:hanging="360"/>
      </w:pPr>
    </w:lvl>
    <w:lvl w:ilvl="2" w:tplc="040C001B" w:tentative="1">
      <w:start w:val="1"/>
      <w:numFmt w:val="lowerRoman"/>
      <w:lvlText w:val="%3."/>
      <w:lvlJc w:val="right"/>
      <w:pPr>
        <w:tabs>
          <w:tab w:val="num" w:pos="2869"/>
        </w:tabs>
        <w:ind w:left="2869" w:hanging="180"/>
      </w:pPr>
    </w:lvl>
    <w:lvl w:ilvl="3" w:tplc="040C000F" w:tentative="1">
      <w:start w:val="1"/>
      <w:numFmt w:val="decimal"/>
      <w:lvlText w:val="%4."/>
      <w:lvlJc w:val="left"/>
      <w:pPr>
        <w:tabs>
          <w:tab w:val="num" w:pos="3589"/>
        </w:tabs>
        <w:ind w:left="3589" w:hanging="360"/>
      </w:pPr>
    </w:lvl>
    <w:lvl w:ilvl="4" w:tplc="040C0019" w:tentative="1">
      <w:start w:val="1"/>
      <w:numFmt w:val="lowerLetter"/>
      <w:lvlText w:val="%5."/>
      <w:lvlJc w:val="left"/>
      <w:pPr>
        <w:tabs>
          <w:tab w:val="num" w:pos="4309"/>
        </w:tabs>
        <w:ind w:left="4309" w:hanging="360"/>
      </w:pPr>
    </w:lvl>
    <w:lvl w:ilvl="5" w:tplc="040C001B" w:tentative="1">
      <w:start w:val="1"/>
      <w:numFmt w:val="lowerRoman"/>
      <w:lvlText w:val="%6."/>
      <w:lvlJc w:val="right"/>
      <w:pPr>
        <w:tabs>
          <w:tab w:val="num" w:pos="5029"/>
        </w:tabs>
        <w:ind w:left="5029" w:hanging="180"/>
      </w:pPr>
    </w:lvl>
    <w:lvl w:ilvl="6" w:tplc="040C000F" w:tentative="1">
      <w:start w:val="1"/>
      <w:numFmt w:val="decimal"/>
      <w:lvlText w:val="%7."/>
      <w:lvlJc w:val="left"/>
      <w:pPr>
        <w:tabs>
          <w:tab w:val="num" w:pos="5749"/>
        </w:tabs>
        <w:ind w:left="5749" w:hanging="360"/>
      </w:pPr>
    </w:lvl>
    <w:lvl w:ilvl="7" w:tplc="040C0019" w:tentative="1">
      <w:start w:val="1"/>
      <w:numFmt w:val="lowerLetter"/>
      <w:lvlText w:val="%8."/>
      <w:lvlJc w:val="left"/>
      <w:pPr>
        <w:tabs>
          <w:tab w:val="num" w:pos="6469"/>
        </w:tabs>
        <w:ind w:left="6469" w:hanging="360"/>
      </w:pPr>
    </w:lvl>
    <w:lvl w:ilvl="8" w:tplc="040C001B" w:tentative="1">
      <w:start w:val="1"/>
      <w:numFmt w:val="lowerRoman"/>
      <w:lvlText w:val="%9."/>
      <w:lvlJc w:val="right"/>
      <w:pPr>
        <w:tabs>
          <w:tab w:val="num" w:pos="7189"/>
        </w:tabs>
        <w:ind w:left="7189" w:hanging="180"/>
      </w:pPr>
    </w:lvl>
  </w:abstractNum>
  <w:abstractNum w:abstractNumId="8" w15:restartNumberingAfterBreak="0">
    <w:nsid w:val="035509E3"/>
    <w:multiLevelType w:val="hybridMultilevel"/>
    <w:tmpl w:val="38766686"/>
    <w:lvl w:ilvl="0" w:tplc="D9A88EEA">
      <w:start w:val="1"/>
      <w:numFmt w:val="none"/>
      <w:pStyle w:val="Projetderecommandationsynthse"/>
      <w:lvlText w:val="%1Projet de recommandation n°"/>
      <w:lvlJc w:val="left"/>
      <w:pPr>
        <w:tabs>
          <w:tab w:val="num" w:pos="3119"/>
        </w:tabs>
        <w:ind w:left="0" w:firstLine="0"/>
      </w:pPr>
      <w:rPr>
        <w:rFonts w:hint="default"/>
        <w:b/>
        <w:i w:val="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15:restartNumberingAfterBreak="0">
    <w:nsid w:val="062E32C9"/>
    <w:multiLevelType w:val="multilevel"/>
    <w:tmpl w:val="D2721542"/>
    <w:lvl w:ilvl="0">
      <w:start w:val="1"/>
      <w:numFmt w:val="decimal"/>
      <w:pStyle w:val="Titreorganigramme"/>
      <w:suff w:val="space"/>
      <w:lvlText w:val="Organigramme n° %1 :"/>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0" w15:restartNumberingAfterBreak="0">
    <w:nsid w:val="08AF6239"/>
    <w:multiLevelType w:val="hybridMultilevel"/>
    <w:tmpl w:val="8ED4EBFE"/>
    <w:lvl w:ilvl="0" w:tplc="86F25DFA">
      <w:start w:val="1"/>
      <w:numFmt w:val="decimal"/>
      <w:pStyle w:val="TitreAnnexenumrot"/>
      <w:lvlText w:val="Annexe n° %1."/>
      <w:lvlJc w:val="left"/>
      <w:pPr>
        <w:tabs>
          <w:tab w:val="num" w:pos="1361"/>
        </w:tabs>
        <w:ind w:left="0" w:firstLine="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0F3D42C5"/>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2FA2B9B"/>
    <w:multiLevelType w:val="hybridMultilevel"/>
    <w:tmpl w:val="3CF62B3A"/>
    <w:lvl w:ilvl="0" w:tplc="7E46EAAE">
      <w:start w:val="13"/>
      <w:numFmt w:val="bullet"/>
      <w:lvlText w:val="-"/>
      <w:lvlJc w:val="left"/>
      <w:pPr>
        <w:ind w:left="780" w:hanging="360"/>
      </w:pPr>
      <w:rPr>
        <w:rFonts w:ascii="Arial" w:eastAsia="Arial" w:hAnsi="Arial" w:cs="Arial" w:hint="default"/>
      </w:rPr>
    </w:lvl>
    <w:lvl w:ilvl="1" w:tplc="040C0003">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13" w15:restartNumberingAfterBreak="0">
    <w:nsid w:val="17D31E5E"/>
    <w:multiLevelType w:val="multilevel"/>
    <w:tmpl w:val="69CE91CE"/>
    <w:lvl w:ilvl="0">
      <w:start w:val="1"/>
      <w:numFmt w:val="decimal"/>
      <w:lvlText w:val="Projet de recommandation n° %1."/>
      <w:lvlJc w:val="left"/>
      <w:pPr>
        <w:ind w:left="473" w:hanging="36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1A2B22A6"/>
    <w:multiLevelType w:val="hybridMultilevel"/>
    <w:tmpl w:val="89808E9E"/>
    <w:lvl w:ilvl="0" w:tplc="86A4B26C">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25A43B78"/>
    <w:multiLevelType w:val="hybridMultilevel"/>
    <w:tmpl w:val="6E203828"/>
    <w:lvl w:ilvl="0" w:tplc="040C0001">
      <w:start w:val="1"/>
      <w:numFmt w:val="bullet"/>
      <w:lvlText w:val=""/>
      <w:lvlJc w:val="left"/>
      <w:pPr>
        <w:ind w:left="1674" w:hanging="360"/>
      </w:pPr>
      <w:rPr>
        <w:rFonts w:ascii="Symbol" w:hAnsi="Symbol" w:hint="default"/>
      </w:rPr>
    </w:lvl>
    <w:lvl w:ilvl="1" w:tplc="040C0003" w:tentative="1">
      <w:start w:val="1"/>
      <w:numFmt w:val="bullet"/>
      <w:lvlText w:val="o"/>
      <w:lvlJc w:val="left"/>
      <w:pPr>
        <w:ind w:left="2394" w:hanging="360"/>
      </w:pPr>
      <w:rPr>
        <w:rFonts w:ascii="Courier New" w:hAnsi="Courier New" w:cs="Courier New" w:hint="default"/>
      </w:rPr>
    </w:lvl>
    <w:lvl w:ilvl="2" w:tplc="040C0005" w:tentative="1">
      <w:start w:val="1"/>
      <w:numFmt w:val="bullet"/>
      <w:lvlText w:val=""/>
      <w:lvlJc w:val="left"/>
      <w:pPr>
        <w:ind w:left="3114" w:hanging="360"/>
      </w:pPr>
      <w:rPr>
        <w:rFonts w:ascii="Wingdings" w:hAnsi="Wingdings" w:hint="default"/>
      </w:rPr>
    </w:lvl>
    <w:lvl w:ilvl="3" w:tplc="040C0001" w:tentative="1">
      <w:start w:val="1"/>
      <w:numFmt w:val="bullet"/>
      <w:lvlText w:val=""/>
      <w:lvlJc w:val="left"/>
      <w:pPr>
        <w:ind w:left="3834" w:hanging="360"/>
      </w:pPr>
      <w:rPr>
        <w:rFonts w:ascii="Symbol" w:hAnsi="Symbol" w:hint="default"/>
      </w:rPr>
    </w:lvl>
    <w:lvl w:ilvl="4" w:tplc="040C0003" w:tentative="1">
      <w:start w:val="1"/>
      <w:numFmt w:val="bullet"/>
      <w:lvlText w:val="o"/>
      <w:lvlJc w:val="left"/>
      <w:pPr>
        <w:ind w:left="4554" w:hanging="360"/>
      </w:pPr>
      <w:rPr>
        <w:rFonts w:ascii="Courier New" w:hAnsi="Courier New" w:cs="Courier New" w:hint="default"/>
      </w:rPr>
    </w:lvl>
    <w:lvl w:ilvl="5" w:tplc="040C0005" w:tentative="1">
      <w:start w:val="1"/>
      <w:numFmt w:val="bullet"/>
      <w:lvlText w:val=""/>
      <w:lvlJc w:val="left"/>
      <w:pPr>
        <w:ind w:left="5274" w:hanging="360"/>
      </w:pPr>
      <w:rPr>
        <w:rFonts w:ascii="Wingdings" w:hAnsi="Wingdings" w:hint="default"/>
      </w:rPr>
    </w:lvl>
    <w:lvl w:ilvl="6" w:tplc="040C0001" w:tentative="1">
      <w:start w:val="1"/>
      <w:numFmt w:val="bullet"/>
      <w:lvlText w:val=""/>
      <w:lvlJc w:val="left"/>
      <w:pPr>
        <w:ind w:left="5994" w:hanging="360"/>
      </w:pPr>
      <w:rPr>
        <w:rFonts w:ascii="Symbol" w:hAnsi="Symbol" w:hint="default"/>
      </w:rPr>
    </w:lvl>
    <w:lvl w:ilvl="7" w:tplc="040C0003" w:tentative="1">
      <w:start w:val="1"/>
      <w:numFmt w:val="bullet"/>
      <w:lvlText w:val="o"/>
      <w:lvlJc w:val="left"/>
      <w:pPr>
        <w:ind w:left="6714" w:hanging="360"/>
      </w:pPr>
      <w:rPr>
        <w:rFonts w:ascii="Courier New" w:hAnsi="Courier New" w:cs="Courier New" w:hint="default"/>
      </w:rPr>
    </w:lvl>
    <w:lvl w:ilvl="8" w:tplc="040C0005" w:tentative="1">
      <w:start w:val="1"/>
      <w:numFmt w:val="bullet"/>
      <w:lvlText w:val=""/>
      <w:lvlJc w:val="left"/>
      <w:pPr>
        <w:ind w:left="7434" w:hanging="360"/>
      </w:pPr>
      <w:rPr>
        <w:rFonts w:ascii="Wingdings" w:hAnsi="Wingdings" w:hint="default"/>
      </w:rPr>
    </w:lvl>
  </w:abstractNum>
  <w:abstractNum w:abstractNumId="16" w15:restartNumberingAfterBreak="0">
    <w:nsid w:val="25ED2F0B"/>
    <w:multiLevelType w:val="multilevel"/>
    <w:tmpl w:val="738C5490"/>
    <w:lvl w:ilvl="0">
      <w:start w:val="1"/>
      <w:numFmt w:val="decimal"/>
      <w:pStyle w:val="Projetderecommandationrapport"/>
      <w:lvlText w:val="Projet de recommandation n° %1."/>
      <w:lvlJc w:val="left"/>
      <w:pPr>
        <w:ind w:left="473" w:hanging="360"/>
      </w:pPr>
      <w:rPr>
        <w:rFonts w:hint="default"/>
        <w:b/>
        <w:i w:val="0"/>
      </w:rPr>
    </w:lvl>
    <w:lvl w:ilvl="1">
      <w:start w:val="1"/>
      <w:numFmt w:val="lowerLetter"/>
      <w:lvlText w:val="%2."/>
      <w:lvlJc w:val="left"/>
      <w:pPr>
        <w:tabs>
          <w:tab w:val="num" w:pos="1440"/>
        </w:tabs>
        <w:ind w:left="1083" w:firstLine="0"/>
      </w:pPr>
      <w:rPr>
        <w:rFonts w:hint="default"/>
      </w:rPr>
    </w:lvl>
    <w:lvl w:ilvl="2">
      <w:start w:val="1"/>
      <w:numFmt w:val="lowerRoman"/>
      <w:lvlText w:val="%3."/>
      <w:lvlJc w:val="right"/>
      <w:pPr>
        <w:tabs>
          <w:tab w:val="num" w:pos="2160"/>
        </w:tabs>
        <w:ind w:left="2053" w:firstLine="0"/>
      </w:pPr>
      <w:rPr>
        <w:rFonts w:hint="default"/>
      </w:rPr>
    </w:lvl>
    <w:lvl w:ilvl="3">
      <w:start w:val="1"/>
      <w:numFmt w:val="decimal"/>
      <w:lvlText w:val="%4."/>
      <w:lvlJc w:val="left"/>
      <w:pPr>
        <w:tabs>
          <w:tab w:val="num" w:pos="2880"/>
        </w:tabs>
        <w:ind w:left="3023" w:firstLine="0"/>
      </w:pPr>
      <w:rPr>
        <w:rFonts w:hint="default"/>
      </w:rPr>
    </w:lvl>
    <w:lvl w:ilvl="4">
      <w:start w:val="1"/>
      <w:numFmt w:val="lowerLetter"/>
      <w:lvlText w:val="%5."/>
      <w:lvlJc w:val="left"/>
      <w:pPr>
        <w:tabs>
          <w:tab w:val="num" w:pos="3600"/>
        </w:tabs>
        <w:ind w:left="3993" w:firstLine="0"/>
      </w:pPr>
      <w:rPr>
        <w:rFonts w:hint="default"/>
      </w:rPr>
    </w:lvl>
    <w:lvl w:ilvl="5">
      <w:start w:val="1"/>
      <w:numFmt w:val="lowerRoman"/>
      <w:lvlText w:val="%6."/>
      <w:lvlJc w:val="right"/>
      <w:pPr>
        <w:tabs>
          <w:tab w:val="num" w:pos="4320"/>
        </w:tabs>
        <w:ind w:left="4963" w:firstLine="0"/>
      </w:pPr>
      <w:rPr>
        <w:rFonts w:hint="default"/>
      </w:rPr>
    </w:lvl>
    <w:lvl w:ilvl="6">
      <w:start w:val="1"/>
      <w:numFmt w:val="decimal"/>
      <w:lvlText w:val="%7."/>
      <w:lvlJc w:val="left"/>
      <w:pPr>
        <w:tabs>
          <w:tab w:val="num" w:pos="5040"/>
        </w:tabs>
        <w:ind w:left="5933" w:firstLine="0"/>
      </w:pPr>
      <w:rPr>
        <w:rFonts w:hint="default"/>
      </w:rPr>
    </w:lvl>
    <w:lvl w:ilvl="7">
      <w:start w:val="1"/>
      <w:numFmt w:val="lowerLetter"/>
      <w:lvlText w:val="%8."/>
      <w:lvlJc w:val="left"/>
      <w:pPr>
        <w:tabs>
          <w:tab w:val="num" w:pos="5760"/>
        </w:tabs>
        <w:ind w:left="6903" w:firstLine="0"/>
      </w:pPr>
      <w:rPr>
        <w:rFonts w:hint="default"/>
      </w:rPr>
    </w:lvl>
    <w:lvl w:ilvl="8">
      <w:start w:val="1"/>
      <w:numFmt w:val="lowerRoman"/>
      <w:lvlText w:val="%9."/>
      <w:lvlJc w:val="right"/>
      <w:pPr>
        <w:tabs>
          <w:tab w:val="num" w:pos="6480"/>
        </w:tabs>
        <w:ind w:left="7873" w:firstLine="0"/>
      </w:pPr>
      <w:rPr>
        <w:rFonts w:hint="default"/>
      </w:rPr>
    </w:lvl>
  </w:abstractNum>
  <w:abstractNum w:abstractNumId="17" w15:restartNumberingAfterBreak="0">
    <w:nsid w:val="307D63BD"/>
    <w:multiLevelType w:val="hybridMultilevel"/>
    <w:tmpl w:val="69545D06"/>
    <w:lvl w:ilvl="0" w:tplc="66425A38">
      <w:start w:val="1"/>
      <w:numFmt w:val="none"/>
      <w:pStyle w:val="Commentairestyle"/>
      <w:lvlText w:val="Commentaire :"/>
      <w:lvlJc w:val="left"/>
      <w:pPr>
        <w:tabs>
          <w:tab w:val="num" w:pos="1616"/>
        </w:tabs>
        <w:ind w:left="85" w:firstLine="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316F2044"/>
    <w:multiLevelType w:val="hybridMultilevel"/>
    <w:tmpl w:val="F8A6AC2E"/>
    <w:lvl w:ilvl="0" w:tplc="86A4B26C">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19" w15:restartNumberingAfterBreak="0">
    <w:nsid w:val="32A405D4"/>
    <w:multiLevelType w:val="hybridMultilevel"/>
    <w:tmpl w:val="E8BC0F2C"/>
    <w:lvl w:ilvl="0" w:tplc="D76E543A">
      <w:start w:val="1"/>
      <w:numFmt w:val="decimal"/>
      <w:pStyle w:val="Observation"/>
      <w:lvlText w:val="Obs. %1."/>
      <w:lvlJc w:val="left"/>
      <w:pPr>
        <w:tabs>
          <w:tab w:val="num" w:pos="794"/>
        </w:tabs>
        <w:ind w:left="794" w:hanging="794"/>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36824CCB"/>
    <w:multiLevelType w:val="hybridMultilevel"/>
    <w:tmpl w:val="04FC7066"/>
    <w:lvl w:ilvl="0" w:tplc="EF86AA5C">
      <w:start w:val="1"/>
      <w:numFmt w:val="decimal"/>
      <w:pStyle w:val="Rponsenauto"/>
      <w:lvlText w:val="Réponse n° %1."/>
      <w:lvlJc w:val="left"/>
      <w:pPr>
        <w:tabs>
          <w:tab w:val="num" w:pos="1474"/>
        </w:tabs>
        <w:ind w:left="0" w:firstLine="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15:restartNumberingAfterBreak="0">
    <w:nsid w:val="3F9C79B7"/>
    <w:multiLevelType w:val="hybridMultilevel"/>
    <w:tmpl w:val="B00073C4"/>
    <w:lvl w:ilvl="0" w:tplc="2F067CC4">
      <w:start w:val="1"/>
      <w:numFmt w:val="bullet"/>
      <w:pStyle w:val="Pucerond2"/>
      <w:lvlText w:val=""/>
      <w:lvlJc w:val="left"/>
      <w:pPr>
        <w:tabs>
          <w:tab w:val="num" w:pos="567"/>
        </w:tabs>
        <w:ind w:left="567" w:hanging="170"/>
      </w:pPr>
      <w:rPr>
        <w:rFonts w:ascii="Symbol" w:hAnsi="Symbol" w:hint="default"/>
        <w:position w:val="2"/>
        <w:sz w:val="16"/>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22A0842"/>
    <w:multiLevelType w:val="multilevel"/>
    <w:tmpl w:val="FB962DA6"/>
    <w:lvl w:ilvl="0">
      <w:start w:val="1"/>
      <w:numFmt w:val="decimal"/>
      <w:pStyle w:val="Titreschma"/>
      <w:suff w:val="space"/>
      <w:lvlText w:val="Schéma n° %1 :"/>
      <w:lvlJc w:val="left"/>
      <w:pPr>
        <w:ind w:left="0" w:firstLine="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3" w15:restartNumberingAfterBreak="0">
    <w:nsid w:val="43944F6A"/>
    <w:multiLevelType w:val="multilevel"/>
    <w:tmpl w:val="F60E1DCE"/>
    <w:lvl w:ilvl="0">
      <w:start w:val="1"/>
      <w:numFmt w:val="decimal"/>
      <w:pStyle w:val="Titrephoto"/>
      <w:suff w:val="space"/>
      <w:lvlText w:val="Photo n° %1 :"/>
      <w:lvlJc w:val="left"/>
      <w:pPr>
        <w:ind w:left="0" w:firstLine="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4AB7139C"/>
    <w:multiLevelType w:val="multilevel"/>
    <w:tmpl w:val="FBDE295E"/>
    <w:lvl w:ilvl="0">
      <w:start w:val="1"/>
      <w:numFmt w:val="decimal"/>
      <w:pStyle w:val="Titrecarte"/>
      <w:suff w:val="space"/>
      <w:lvlText w:val="Carte n° %1 :"/>
      <w:lvlJc w:val="left"/>
      <w:pPr>
        <w:ind w:left="0" w:firstLine="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4C52313A"/>
    <w:multiLevelType w:val="multilevel"/>
    <w:tmpl w:val="D9A07404"/>
    <w:lvl w:ilvl="0">
      <w:start w:val="1"/>
      <w:numFmt w:val="decimal"/>
      <w:pStyle w:val="Titretableau"/>
      <w:suff w:val="space"/>
      <w:lvlText w:val="Tableau n° %1 :"/>
      <w:lvlJc w:val="left"/>
      <w:pPr>
        <w:ind w:left="0" w:firstLine="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6" w15:restartNumberingAfterBreak="0">
    <w:nsid w:val="4F203E7E"/>
    <w:multiLevelType w:val="hybridMultilevel"/>
    <w:tmpl w:val="32EC1158"/>
    <w:lvl w:ilvl="0" w:tplc="86A4B26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2B66849"/>
    <w:multiLevelType w:val="multilevel"/>
    <w:tmpl w:val="338CFA3E"/>
    <w:lvl w:ilvl="0">
      <w:start w:val="1"/>
      <w:numFmt w:val="decimal"/>
      <w:pStyle w:val="Titregraphique"/>
      <w:suff w:val="space"/>
      <w:lvlText w:val="Graphique n° %1 :"/>
      <w:lvlJc w:val="left"/>
      <w:pPr>
        <w:ind w:left="0" w:firstLine="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5A152D0E"/>
    <w:multiLevelType w:val="multilevel"/>
    <w:tmpl w:val="43F8EFAE"/>
    <w:lvl w:ilvl="0">
      <w:start w:val="1"/>
      <w:numFmt w:val="decimal"/>
      <w:pStyle w:val="Titre1"/>
      <w:lvlText w:val="Annexe %1."/>
      <w:lvlJc w:val="left"/>
      <w:pPr>
        <w:ind w:left="360" w:hanging="360"/>
      </w:pPr>
      <w:rPr>
        <w:rFonts w:hint="default"/>
        <w:b/>
        <w:bCs w:val="0"/>
        <w:i w:val="0"/>
        <w:iCs w:val="0"/>
        <w: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9" w15:restartNumberingAfterBreak="0">
    <w:nsid w:val="5B1E480D"/>
    <w:multiLevelType w:val="hybridMultilevel"/>
    <w:tmpl w:val="A1D01988"/>
    <w:lvl w:ilvl="0" w:tplc="86A4B26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E675597"/>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601E2398"/>
    <w:multiLevelType w:val="multilevel"/>
    <w:tmpl w:val="5BFA1B40"/>
    <w:lvl w:ilvl="0">
      <w:start w:val="1"/>
      <w:numFmt w:val="decimal"/>
      <w:pStyle w:val="Annexes-Titre"/>
      <w:suff w:val="space"/>
      <w:lvlText w:val="Annexe %1."/>
      <w:lvlJc w:val="left"/>
      <w:pPr>
        <w:ind w:left="0" w:firstLine="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15:restartNumberingAfterBreak="0">
    <w:nsid w:val="60EE582B"/>
    <w:multiLevelType w:val="hybridMultilevel"/>
    <w:tmpl w:val="44E2E074"/>
    <w:lvl w:ilvl="0" w:tplc="86A4B26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34A6A36"/>
    <w:multiLevelType w:val="hybridMultilevel"/>
    <w:tmpl w:val="C24ED3CA"/>
    <w:lvl w:ilvl="0" w:tplc="040C000F">
      <w:start w:val="1"/>
      <w:numFmt w:val="decimal"/>
      <w:lvlText w:val="%1."/>
      <w:lvlJc w:val="left"/>
      <w:pPr>
        <w:ind w:left="1429" w:hanging="360"/>
      </w:pPr>
    </w:lvl>
    <w:lvl w:ilvl="1" w:tplc="040C0019" w:tentative="1">
      <w:start w:val="1"/>
      <w:numFmt w:val="lowerLetter"/>
      <w:lvlText w:val="%2."/>
      <w:lvlJc w:val="left"/>
      <w:pPr>
        <w:ind w:left="2149" w:hanging="360"/>
      </w:pPr>
    </w:lvl>
    <w:lvl w:ilvl="2" w:tplc="040C001B" w:tentative="1">
      <w:start w:val="1"/>
      <w:numFmt w:val="lowerRoman"/>
      <w:lvlText w:val="%3."/>
      <w:lvlJc w:val="right"/>
      <w:pPr>
        <w:ind w:left="2869" w:hanging="180"/>
      </w:pPr>
    </w:lvl>
    <w:lvl w:ilvl="3" w:tplc="040C000F" w:tentative="1">
      <w:start w:val="1"/>
      <w:numFmt w:val="decimal"/>
      <w:lvlText w:val="%4."/>
      <w:lvlJc w:val="left"/>
      <w:pPr>
        <w:ind w:left="3589" w:hanging="360"/>
      </w:pPr>
    </w:lvl>
    <w:lvl w:ilvl="4" w:tplc="040C0019" w:tentative="1">
      <w:start w:val="1"/>
      <w:numFmt w:val="lowerLetter"/>
      <w:lvlText w:val="%5."/>
      <w:lvlJc w:val="left"/>
      <w:pPr>
        <w:ind w:left="4309" w:hanging="360"/>
      </w:pPr>
    </w:lvl>
    <w:lvl w:ilvl="5" w:tplc="040C001B" w:tentative="1">
      <w:start w:val="1"/>
      <w:numFmt w:val="lowerRoman"/>
      <w:lvlText w:val="%6."/>
      <w:lvlJc w:val="right"/>
      <w:pPr>
        <w:ind w:left="5029" w:hanging="180"/>
      </w:pPr>
    </w:lvl>
    <w:lvl w:ilvl="6" w:tplc="040C000F" w:tentative="1">
      <w:start w:val="1"/>
      <w:numFmt w:val="decimal"/>
      <w:lvlText w:val="%7."/>
      <w:lvlJc w:val="left"/>
      <w:pPr>
        <w:ind w:left="5749" w:hanging="360"/>
      </w:pPr>
    </w:lvl>
    <w:lvl w:ilvl="7" w:tplc="040C0019" w:tentative="1">
      <w:start w:val="1"/>
      <w:numFmt w:val="lowerLetter"/>
      <w:lvlText w:val="%8."/>
      <w:lvlJc w:val="left"/>
      <w:pPr>
        <w:ind w:left="6469" w:hanging="360"/>
      </w:pPr>
    </w:lvl>
    <w:lvl w:ilvl="8" w:tplc="040C001B" w:tentative="1">
      <w:start w:val="1"/>
      <w:numFmt w:val="lowerRoman"/>
      <w:lvlText w:val="%9."/>
      <w:lvlJc w:val="right"/>
      <w:pPr>
        <w:ind w:left="7189" w:hanging="180"/>
      </w:pPr>
    </w:lvl>
  </w:abstractNum>
  <w:abstractNum w:abstractNumId="34" w15:restartNumberingAfterBreak="0">
    <w:nsid w:val="65EB464C"/>
    <w:multiLevelType w:val="hybridMultilevel"/>
    <w:tmpl w:val="158AB2C0"/>
    <w:lvl w:ilvl="0" w:tplc="C4D81CA2">
      <w:start w:val="1"/>
      <w:numFmt w:val="bullet"/>
      <w:pStyle w:val="Pucetiret"/>
      <w:lvlText w:val="-"/>
      <w:lvlJc w:val="left"/>
      <w:pPr>
        <w:tabs>
          <w:tab w:val="num" w:pos="397"/>
        </w:tabs>
        <w:ind w:left="397" w:hanging="199"/>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6A649C4"/>
    <w:multiLevelType w:val="multilevel"/>
    <w:tmpl w:val="0FC8D642"/>
    <w:lvl w:ilvl="0">
      <w:start w:val="1"/>
      <w:numFmt w:val="bullet"/>
      <w:pStyle w:val="Listepuces"/>
      <w:lvlText w:val=""/>
      <w:lvlJc w:val="left"/>
      <w:pPr>
        <w:tabs>
          <w:tab w:val="num" w:pos="227"/>
        </w:tabs>
        <w:ind w:left="227" w:hanging="227"/>
      </w:pPr>
      <w:rPr>
        <w:rFonts w:ascii="Symbol" w:hAnsi="Symbol" w:hint="default"/>
        <w:color w:val="auto"/>
      </w:rPr>
    </w:lvl>
    <w:lvl w:ilvl="1">
      <w:start w:val="1"/>
      <w:numFmt w:val="bullet"/>
      <w:pStyle w:val="Listepuces2"/>
      <w:lvlText w:val="-"/>
      <w:lvlJc w:val="left"/>
      <w:pPr>
        <w:tabs>
          <w:tab w:val="num" w:pos="454"/>
        </w:tabs>
        <w:ind w:left="454" w:hanging="227"/>
      </w:pPr>
      <w:rPr>
        <w:rFonts w:ascii="Tahoma" w:hAnsi="Tahoma" w:hint="default"/>
      </w:rPr>
    </w:lvl>
    <w:lvl w:ilvl="2">
      <w:start w:val="1"/>
      <w:numFmt w:val="bullet"/>
      <w:pStyle w:val="Listepuces3"/>
      <w:lvlText w:val="."/>
      <w:lvlJc w:val="left"/>
      <w:pPr>
        <w:tabs>
          <w:tab w:val="num" w:pos="624"/>
        </w:tabs>
        <w:ind w:left="624" w:hanging="170"/>
      </w:pPr>
      <w:rPr>
        <w:rFonts w:ascii="Arial Gras" w:hAnsi="Arial Gras" w:hint="default"/>
        <w:b/>
        <w:i w:val="0"/>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6" w15:restartNumberingAfterBreak="0">
    <w:nsid w:val="66FD42AD"/>
    <w:multiLevelType w:val="multilevel"/>
    <w:tmpl w:val="1CE4CCEC"/>
    <w:lvl w:ilvl="0">
      <w:start w:val="1"/>
      <w:numFmt w:val="decimal"/>
      <w:pStyle w:val="Numrotationcontinue"/>
      <w:suff w:val="space"/>
      <w:lvlText w:val="(%1)"/>
      <w:lvlJc w:val="left"/>
      <w:pPr>
        <w:ind w:left="0" w:firstLine="709"/>
      </w:pPr>
      <w:rPr>
        <w:rFonts w:hint="default"/>
        <w:position w:val="2"/>
        <w:sz w:val="19"/>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6A1160F6"/>
    <w:multiLevelType w:val="hybridMultilevel"/>
    <w:tmpl w:val="BE44A65C"/>
    <w:lvl w:ilvl="0" w:tplc="1304FABC">
      <w:start w:val="1"/>
      <w:numFmt w:val="none"/>
      <w:pStyle w:val="ContradictionOUI"/>
      <w:lvlText w:val="Destiné à la contradiction"/>
      <w:lvlJc w:val="right"/>
      <w:pPr>
        <w:tabs>
          <w:tab w:val="num" w:pos="0"/>
        </w:tabs>
        <w:ind w:left="0" w:firstLine="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8" w15:restartNumberingAfterBreak="0">
    <w:nsid w:val="6C0252B5"/>
    <w:multiLevelType w:val="hybridMultilevel"/>
    <w:tmpl w:val="66264660"/>
    <w:lvl w:ilvl="0" w:tplc="86A4B26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D6C1668"/>
    <w:multiLevelType w:val="hybridMultilevel"/>
    <w:tmpl w:val="ACCA43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1F21041"/>
    <w:multiLevelType w:val="hybridMultilevel"/>
    <w:tmpl w:val="779E7EC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1" w15:restartNumberingAfterBreak="0">
    <w:nsid w:val="72D23DD6"/>
    <w:multiLevelType w:val="hybridMultilevel"/>
    <w:tmpl w:val="B4BAE1A6"/>
    <w:lvl w:ilvl="0" w:tplc="43D8084C">
      <w:start w:val="1"/>
      <w:numFmt w:val="decimal"/>
      <w:pStyle w:val="Listenumrote"/>
      <w:lvlText w:val="%1)"/>
      <w:lvlJc w:val="left"/>
      <w:pPr>
        <w:tabs>
          <w:tab w:val="num" w:pos="227"/>
        </w:tabs>
        <w:ind w:left="227" w:hanging="227"/>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num w:numId="1">
    <w:abstractNumId w:val="31"/>
  </w:num>
  <w:num w:numId="2">
    <w:abstractNumId w:val="35"/>
  </w:num>
  <w:num w:numId="3">
    <w:abstractNumId w:val="41"/>
  </w:num>
  <w:num w:numId="4">
    <w:abstractNumId w:val="28"/>
  </w:num>
  <w:num w:numId="5">
    <w:abstractNumId w:val="10"/>
  </w:num>
  <w:num w:numId="6">
    <w:abstractNumId w:val="19"/>
  </w:num>
  <w:num w:numId="7">
    <w:abstractNumId w:val="24"/>
  </w:num>
  <w:num w:numId="8">
    <w:abstractNumId w:val="27"/>
  </w:num>
  <w:num w:numId="9">
    <w:abstractNumId w:val="9"/>
  </w:num>
  <w:num w:numId="10">
    <w:abstractNumId w:val="23"/>
  </w:num>
  <w:num w:numId="11">
    <w:abstractNumId w:val="22"/>
  </w:num>
  <w:num w:numId="12">
    <w:abstractNumId w:val="25"/>
  </w:num>
  <w:num w:numId="13">
    <w:abstractNumId w:val="36"/>
  </w:num>
  <w:num w:numId="14">
    <w:abstractNumId w:val="7"/>
  </w:num>
  <w:num w:numId="15">
    <w:abstractNumId w:val="37"/>
  </w:num>
  <w:num w:numId="16">
    <w:abstractNumId w:val="8"/>
  </w:num>
  <w:num w:numId="17">
    <w:abstractNumId w:val="11"/>
  </w:num>
  <w:num w:numId="18">
    <w:abstractNumId w:val="30"/>
  </w:num>
  <w:num w:numId="19">
    <w:abstractNumId w:val="5"/>
  </w:num>
  <w:num w:numId="20">
    <w:abstractNumId w:val="4"/>
  </w:num>
  <w:num w:numId="21">
    <w:abstractNumId w:val="6"/>
  </w:num>
  <w:num w:numId="22">
    <w:abstractNumId w:val="3"/>
  </w:num>
  <w:num w:numId="23">
    <w:abstractNumId w:val="2"/>
  </w:num>
  <w:num w:numId="24">
    <w:abstractNumId w:val="1"/>
  </w:num>
  <w:num w:numId="25">
    <w:abstractNumId w:val="0"/>
  </w:num>
  <w:num w:numId="26">
    <w:abstractNumId w:val="17"/>
  </w:num>
  <w:num w:numId="27">
    <w:abstractNumId w:val="20"/>
  </w:num>
  <w:num w:numId="28">
    <w:abstractNumId w:val="16"/>
  </w:num>
  <w:num w:numId="29">
    <w:abstractNumId w:val="13"/>
  </w:num>
  <w:num w:numId="30">
    <w:abstractNumId w:val="40"/>
  </w:num>
  <w:num w:numId="31">
    <w:abstractNumId w:val="29"/>
  </w:num>
  <w:num w:numId="32">
    <w:abstractNumId w:val="25"/>
  </w:num>
  <w:num w:numId="33">
    <w:abstractNumId w:val="15"/>
  </w:num>
  <w:num w:numId="34">
    <w:abstractNumId w:val="39"/>
  </w:num>
  <w:num w:numId="35">
    <w:abstractNumId w:val="34"/>
  </w:num>
  <w:num w:numId="36">
    <w:abstractNumId w:val="26"/>
  </w:num>
  <w:num w:numId="37">
    <w:abstractNumId w:val="12"/>
  </w:num>
  <w:num w:numId="38">
    <w:abstractNumId w:val="14"/>
  </w:num>
  <w:num w:numId="39">
    <w:abstractNumId w:val="33"/>
  </w:num>
  <w:num w:numId="40">
    <w:abstractNumId w:val="32"/>
  </w:num>
  <w:num w:numId="41">
    <w:abstractNumId w:val="18"/>
  </w:num>
  <w:num w:numId="42">
    <w:abstractNumId w:val="38"/>
  </w:num>
  <w:num w:numId="43">
    <w:abstractNumId w:val="28"/>
  </w:num>
  <w:num w:numId="44">
    <w:abstractNumId w:val="27"/>
  </w:num>
  <w:num w:numId="45">
    <w:abstractNumId w:val="2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grammar="clean"/>
  <w:attachedTemplate r:id="rId1"/>
  <w:defaultTabStop w:val="709"/>
  <w:hyphenationZone w:val="567"/>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1866"/>
    <w:rsid w:val="00000346"/>
    <w:rsid w:val="000022AC"/>
    <w:rsid w:val="00003F3F"/>
    <w:rsid w:val="000044B4"/>
    <w:rsid w:val="00004C1B"/>
    <w:rsid w:val="00006F38"/>
    <w:rsid w:val="00006FC2"/>
    <w:rsid w:val="000100C9"/>
    <w:rsid w:val="0001052C"/>
    <w:rsid w:val="00013755"/>
    <w:rsid w:val="000154E4"/>
    <w:rsid w:val="000157A2"/>
    <w:rsid w:val="00017070"/>
    <w:rsid w:val="000172F4"/>
    <w:rsid w:val="00017E49"/>
    <w:rsid w:val="00020EB2"/>
    <w:rsid w:val="000221D5"/>
    <w:rsid w:val="00024416"/>
    <w:rsid w:val="00024C57"/>
    <w:rsid w:val="000253EC"/>
    <w:rsid w:val="000255B2"/>
    <w:rsid w:val="00026CE2"/>
    <w:rsid w:val="0002702E"/>
    <w:rsid w:val="000272E7"/>
    <w:rsid w:val="00032054"/>
    <w:rsid w:val="00032134"/>
    <w:rsid w:val="000370C1"/>
    <w:rsid w:val="00037720"/>
    <w:rsid w:val="00037DD7"/>
    <w:rsid w:val="00040D03"/>
    <w:rsid w:val="00041E71"/>
    <w:rsid w:val="000421E9"/>
    <w:rsid w:val="00042A7F"/>
    <w:rsid w:val="00044BFB"/>
    <w:rsid w:val="000505E0"/>
    <w:rsid w:val="00052FA4"/>
    <w:rsid w:val="0005446F"/>
    <w:rsid w:val="000551A9"/>
    <w:rsid w:val="00055FF1"/>
    <w:rsid w:val="00056217"/>
    <w:rsid w:val="000605E4"/>
    <w:rsid w:val="000628C2"/>
    <w:rsid w:val="0006323E"/>
    <w:rsid w:val="00065158"/>
    <w:rsid w:val="00066698"/>
    <w:rsid w:val="0006694F"/>
    <w:rsid w:val="000669A5"/>
    <w:rsid w:val="00067E42"/>
    <w:rsid w:val="000705DF"/>
    <w:rsid w:val="00070F58"/>
    <w:rsid w:val="00071D61"/>
    <w:rsid w:val="000721DD"/>
    <w:rsid w:val="00076896"/>
    <w:rsid w:val="000771C4"/>
    <w:rsid w:val="00081410"/>
    <w:rsid w:val="000822C4"/>
    <w:rsid w:val="00082392"/>
    <w:rsid w:val="000825BA"/>
    <w:rsid w:val="00082DF4"/>
    <w:rsid w:val="00083FF0"/>
    <w:rsid w:val="00084A0B"/>
    <w:rsid w:val="00085513"/>
    <w:rsid w:val="00090D52"/>
    <w:rsid w:val="0009493B"/>
    <w:rsid w:val="00096368"/>
    <w:rsid w:val="000966E8"/>
    <w:rsid w:val="000A18B8"/>
    <w:rsid w:val="000A6648"/>
    <w:rsid w:val="000B14CC"/>
    <w:rsid w:val="000B2650"/>
    <w:rsid w:val="000B4D94"/>
    <w:rsid w:val="000B4EFA"/>
    <w:rsid w:val="000B5722"/>
    <w:rsid w:val="000B65E7"/>
    <w:rsid w:val="000B6E1F"/>
    <w:rsid w:val="000B78FC"/>
    <w:rsid w:val="000B7FE1"/>
    <w:rsid w:val="000C09D2"/>
    <w:rsid w:val="000C52F7"/>
    <w:rsid w:val="000C5D0C"/>
    <w:rsid w:val="000C6CA3"/>
    <w:rsid w:val="000C6E62"/>
    <w:rsid w:val="000D00EC"/>
    <w:rsid w:val="000D1815"/>
    <w:rsid w:val="000D25F1"/>
    <w:rsid w:val="000D3AFA"/>
    <w:rsid w:val="000D4414"/>
    <w:rsid w:val="000D7664"/>
    <w:rsid w:val="000D78B2"/>
    <w:rsid w:val="000E31A2"/>
    <w:rsid w:val="000E3207"/>
    <w:rsid w:val="000E329F"/>
    <w:rsid w:val="000E39B4"/>
    <w:rsid w:val="000E47F4"/>
    <w:rsid w:val="000E4F76"/>
    <w:rsid w:val="000E586B"/>
    <w:rsid w:val="000E6D82"/>
    <w:rsid w:val="000E6F5C"/>
    <w:rsid w:val="000F05C1"/>
    <w:rsid w:val="000F2B93"/>
    <w:rsid w:val="000F2EF7"/>
    <w:rsid w:val="000F393A"/>
    <w:rsid w:val="000F3F35"/>
    <w:rsid w:val="000F4998"/>
    <w:rsid w:val="000F5D0D"/>
    <w:rsid w:val="000F6A97"/>
    <w:rsid w:val="000F700E"/>
    <w:rsid w:val="000F75FE"/>
    <w:rsid w:val="000F7ABB"/>
    <w:rsid w:val="000F7B51"/>
    <w:rsid w:val="00101AC3"/>
    <w:rsid w:val="001038F1"/>
    <w:rsid w:val="00105743"/>
    <w:rsid w:val="00105D69"/>
    <w:rsid w:val="00106C5D"/>
    <w:rsid w:val="00106F26"/>
    <w:rsid w:val="0010701B"/>
    <w:rsid w:val="001079DA"/>
    <w:rsid w:val="00112ABA"/>
    <w:rsid w:val="0011305C"/>
    <w:rsid w:val="00115CBD"/>
    <w:rsid w:val="001174EB"/>
    <w:rsid w:val="00117F8E"/>
    <w:rsid w:val="001221BE"/>
    <w:rsid w:val="00123365"/>
    <w:rsid w:val="0012346A"/>
    <w:rsid w:val="00123A31"/>
    <w:rsid w:val="001259F6"/>
    <w:rsid w:val="00127910"/>
    <w:rsid w:val="001308A3"/>
    <w:rsid w:val="00131143"/>
    <w:rsid w:val="00131C7A"/>
    <w:rsid w:val="00131E84"/>
    <w:rsid w:val="00136073"/>
    <w:rsid w:val="0014179C"/>
    <w:rsid w:val="00141BD8"/>
    <w:rsid w:val="00141F7D"/>
    <w:rsid w:val="0014303D"/>
    <w:rsid w:val="0014387E"/>
    <w:rsid w:val="0014417D"/>
    <w:rsid w:val="00145409"/>
    <w:rsid w:val="00147278"/>
    <w:rsid w:val="00147293"/>
    <w:rsid w:val="001478AF"/>
    <w:rsid w:val="001511A6"/>
    <w:rsid w:val="00154629"/>
    <w:rsid w:val="001552C4"/>
    <w:rsid w:val="00155B89"/>
    <w:rsid w:val="00163ABC"/>
    <w:rsid w:val="001646C8"/>
    <w:rsid w:val="0016589B"/>
    <w:rsid w:val="00166BC0"/>
    <w:rsid w:val="0017026B"/>
    <w:rsid w:val="0017160C"/>
    <w:rsid w:val="00171B99"/>
    <w:rsid w:val="001746DB"/>
    <w:rsid w:val="00174D3F"/>
    <w:rsid w:val="00175073"/>
    <w:rsid w:val="001750C2"/>
    <w:rsid w:val="00175526"/>
    <w:rsid w:val="00177FB4"/>
    <w:rsid w:val="001801B8"/>
    <w:rsid w:val="00181EF4"/>
    <w:rsid w:val="00182C09"/>
    <w:rsid w:val="00183599"/>
    <w:rsid w:val="001842A2"/>
    <w:rsid w:val="0018784F"/>
    <w:rsid w:val="00191358"/>
    <w:rsid w:val="00191958"/>
    <w:rsid w:val="00193DAC"/>
    <w:rsid w:val="001951E2"/>
    <w:rsid w:val="001957BC"/>
    <w:rsid w:val="00195C26"/>
    <w:rsid w:val="001962AE"/>
    <w:rsid w:val="00197820"/>
    <w:rsid w:val="001A083A"/>
    <w:rsid w:val="001A0D7F"/>
    <w:rsid w:val="001A4383"/>
    <w:rsid w:val="001A49C1"/>
    <w:rsid w:val="001A560C"/>
    <w:rsid w:val="001A6C59"/>
    <w:rsid w:val="001A702C"/>
    <w:rsid w:val="001B05C7"/>
    <w:rsid w:val="001B1226"/>
    <w:rsid w:val="001B41DF"/>
    <w:rsid w:val="001B552A"/>
    <w:rsid w:val="001B6692"/>
    <w:rsid w:val="001B6D0C"/>
    <w:rsid w:val="001C067C"/>
    <w:rsid w:val="001C1832"/>
    <w:rsid w:val="001C273F"/>
    <w:rsid w:val="001C382A"/>
    <w:rsid w:val="001C4846"/>
    <w:rsid w:val="001C5B1D"/>
    <w:rsid w:val="001C5C95"/>
    <w:rsid w:val="001C678B"/>
    <w:rsid w:val="001D0671"/>
    <w:rsid w:val="001D0815"/>
    <w:rsid w:val="001D0BE8"/>
    <w:rsid w:val="001D123B"/>
    <w:rsid w:val="001D33EE"/>
    <w:rsid w:val="001D3484"/>
    <w:rsid w:val="001D3500"/>
    <w:rsid w:val="001D3F2F"/>
    <w:rsid w:val="001D45C1"/>
    <w:rsid w:val="001D4FB2"/>
    <w:rsid w:val="001D512C"/>
    <w:rsid w:val="001E2F7A"/>
    <w:rsid w:val="001E33F9"/>
    <w:rsid w:val="001E3F74"/>
    <w:rsid w:val="001E6171"/>
    <w:rsid w:val="001F0FCB"/>
    <w:rsid w:val="001F2318"/>
    <w:rsid w:val="001F46C3"/>
    <w:rsid w:val="001F5303"/>
    <w:rsid w:val="001F5A3D"/>
    <w:rsid w:val="001F7654"/>
    <w:rsid w:val="002003F4"/>
    <w:rsid w:val="00201CEF"/>
    <w:rsid w:val="00202B8A"/>
    <w:rsid w:val="0020319E"/>
    <w:rsid w:val="00203A99"/>
    <w:rsid w:val="00204EA6"/>
    <w:rsid w:val="00205B87"/>
    <w:rsid w:val="00206A89"/>
    <w:rsid w:val="00210024"/>
    <w:rsid w:val="00210640"/>
    <w:rsid w:val="002109AD"/>
    <w:rsid w:val="00211262"/>
    <w:rsid w:val="002119B4"/>
    <w:rsid w:val="0021276E"/>
    <w:rsid w:val="00212D2F"/>
    <w:rsid w:val="00213B5F"/>
    <w:rsid w:val="00213EA9"/>
    <w:rsid w:val="00214A80"/>
    <w:rsid w:val="002161C7"/>
    <w:rsid w:val="00216CDE"/>
    <w:rsid w:val="00217110"/>
    <w:rsid w:val="002206B3"/>
    <w:rsid w:val="002241B7"/>
    <w:rsid w:val="00224233"/>
    <w:rsid w:val="00226C79"/>
    <w:rsid w:val="0022732F"/>
    <w:rsid w:val="0022738F"/>
    <w:rsid w:val="00232529"/>
    <w:rsid w:val="0023267D"/>
    <w:rsid w:val="0023289B"/>
    <w:rsid w:val="00232F62"/>
    <w:rsid w:val="0023777C"/>
    <w:rsid w:val="00237E92"/>
    <w:rsid w:val="00240615"/>
    <w:rsid w:val="00240CC4"/>
    <w:rsid w:val="0024111F"/>
    <w:rsid w:val="002411DB"/>
    <w:rsid w:val="0024121C"/>
    <w:rsid w:val="00241520"/>
    <w:rsid w:val="00243207"/>
    <w:rsid w:val="00243859"/>
    <w:rsid w:val="00244257"/>
    <w:rsid w:val="00244BA6"/>
    <w:rsid w:val="00246F5D"/>
    <w:rsid w:val="00250194"/>
    <w:rsid w:val="0025156E"/>
    <w:rsid w:val="002549B2"/>
    <w:rsid w:val="00254F5C"/>
    <w:rsid w:val="00255AE0"/>
    <w:rsid w:val="00257854"/>
    <w:rsid w:val="00257937"/>
    <w:rsid w:val="00260EFA"/>
    <w:rsid w:val="00260FD8"/>
    <w:rsid w:val="00262B9D"/>
    <w:rsid w:val="00263DC4"/>
    <w:rsid w:val="00265639"/>
    <w:rsid w:val="00266D68"/>
    <w:rsid w:val="00267469"/>
    <w:rsid w:val="00267D80"/>
    <w:rsid w:val="00270C56"/>
    <w:rsid w:val="00270CE7"/>
    <w:rsid w:val="002725DE"/>
    <w:rsid w:val="00274023"/>
    <w:rsid w:val="002767F7"/>
    <w:rsid w:val="00276C3C"/>
    <w:rsid w:val="00277084"/>
    <w:rsid w:val="00277962"/>
    <w:rsid w:val="00277AB2"/>
    <w:rsid w:val="002807D2"/>
    <w:rsid w:val="00280F2A"/>
    <w:rsid w:val="00281C6E"/>
    <w:rsid w:val="00281D85"/>
    <w:rsid w:val="00283885"/>
    <w:rsid w:val="00283D84"/>
    <w:rsid w:val="00283EF4"/>
    <w:rsid w:val="002847BB"/>
    <w:rsid w:val="002875FA"/>
    <w:rsid w:val="0029124F"/>
    <w:rsid w:val="0029161D"/>
    <w:rsid w:val="00292755"/>
    <w:rsid w:val="00292E2C"/>
    <w:rsid w:val="002932EC"/>
    <w:rsid w:val="00294A3F"/>
    <w:rsid w:val="00294BD6"/>
    <w:rsid w:val="00295DD9"/>
    <w:rsid w:val="00295F8F"/>
    <w:rsid w:val="002961D3"/>
    <w:rsid w:val="002A13C8"/>
    <w:rsid w:val="002A1AAB"/>
    <w:rsid w:val="002A2FDA"/>
    <w:rsid w:val="002A3527"/>
    <w:rsid w:val="002A37BF"/>
    <w:rsid w:val="002A3B95"/>
    <w:rsid w:val="002A4425"/>
    <w:rsid w:val="002A47FC"/>
    <w:rsid w:val="002A50A8"/>
    <w:rsid w:val="002A590B"/>
    <w:rsid w:val="002A5917"/>
    <w:rsid w:val="002A6DCB"/>
    <w:rsid w:val="002A724F"/>
    <w:rsid w:val="002A728C"/>
    <w:rsid w:val="002B08F7"/>
    <w:rsid w:val="002B0E3E"/>
    <w:rsid w:val="002B111C"/>
    <w:rsid w:val="002B47C8"/>
    <w:rsid w:val="002B536F"/>
    <w:rsid w:val="002B684D"/>
    <w:rsid w:val="002B6981"/>
    <w:rsid w:val="002B72D9"/>
    <w:rsid w:val="002B79C3"/>
    <w:rsid w:val="002B7A8A"/>
    <w:rsid w:val="002B7C05"/>
    <w:rsid w:val="002C0C14"/>
    <w:rsid w:val="002C0EA2"/>
    <w:rsid w:val="002C5C0A"/>
    <w:rsid w:val="002C60B5"/>
    <w:rsid w:val="002C6858"/>
    <w:rsid w:val="002C6BB0"/>
    <w:rsid w:val="002C7610"/>
    <w:rsid w:val="002D1A02"/>
    <w:rsid w:val="002D2385"/>
    <w:rsid w:val="002D376D"/>
    <w:rsid w:val="002D47C2"/>
    <w:rsid w:val="002D51C4"/>
    <w:rsid w:val="002D5A27"/>
    <w:rsid w:val="002D78E5"/>
    <w:rsid w:val="002E1872"/>
    <w:rsid w:val="002E2294"/>
    <w:rsid w:val="002E29C9"/>
    <w:rsid w:val="002E4479"/>
    <w:rsid w:val="002E4485"/>
    <w:rsid w:val="002E4EC0"/>
    <w:rsid w:val="002E5197"/>
    <w:rsid w:val="002E630D"/>
    <w:rsid w:val="002F0D77"/>
    <w:rsid w:val="002F0E8E"/>
    <w:rsid w:val="002F3B8C"/>
    <w:rsid w:val="002F444E"/>
    <w:rsid w:val="002F5DF5"/>
    <w:rsid w:val="002F6BC4"/>
    <w:rsid w:val="002F6FD1"/>
    <w:rsid w:val="0030053A"/>
    <w:rsid w:val="0030128F"/>
    <w:rsid w:val="003024D8"/>
    <w:rsid w:val="00302621"/>
    <w:rsid w:val="00302A0E"/>
    <w:rsid w:val="00303830"/>
    <w:rsid w:val="003038E3"/>
    <w:rsid w:val="00305816"/>
    <w:rsid w:val="00305D8F"/>
    <w:rsid w:val="003073FF"/>
    <w:rsid w:val="00307781"/>
    <w:rsid w:val="00310EC1"/>
    <w:rsid w:val="003137F9"/>
    <w:rsid w:val="00313836"/>
    <w:rsid w:val="00320F0E"/>
    <w:rsid w:val="00322977"/>
    <w:rsid w:val="003231E8"/>
    <w:rsid w:val="00324548"/>
    <w:rsid w:val="00324A64"/>
    <w:rsid w:val="00325188"/>
    <w:rsid w:val="0032633E"/>
    <w:rsid w:val="00326364"/>
    <w:rsid w:val="003305D6"/>
    <w:rsid w:val="00330600"/>
    <w:rsid w:val="003316D1"/>
    <w:rsid w:val="003320E1"/>
    <w:rsid w:val="003329B0"/>
    <w:rsid w:val="003336C6"/>
    <w:rsid w:val="00334015"/>
    <w:rsid w:val="00334C96"/>
    <w:rsid w:val="00336556"/>
    <w:rsid w:val="003365CD"/>
    <w:rsid w:val="00342F55"/>
    <w:rsid w:val="0034317B"/>
    <w:rsid w:val="003432A9"/>
    <w:rsid w:val="00344E95"/>
    <w:rsid w:val="0034647F"/>
    <w:rsid w:val="003473BC"/>
    <w:rsid w:val="00347BF2"/>
    <w:rsid w:val="003528B9"/>
    <w:rsid w:val="00353AF1"/>
    <w:rsid w:val="00353F71"/>
    <w:rsid w:val="003564EE"/>
    <w:rsid w:val="00357BA1"/>
    <w:rsid w:val="00360466"/>
    <w:rsid w:val="00360470"/>
    <w:rsid w:val="003616DC"/>
    <w:rsid w:val="00363120"/>
    <w:rsid w:val="00363662"/>
    <w:rsid w:val="003671EF"/>
    <w:rsid w:val="0036769D"/>
    <w:rsid w:val="003708A1"/>
    <w:rsid w:val="00371214"/>
    <w:rsid w:val="00373C7D"/>
    <w:rsid w:val="00374A89"/>
    <w:rsid w:val="00375DCE"/>
    <w:rsid w:val="00376368"/>
    <w:rsid w:val="00376D51"/>
    <w:rsid w:val="00380655"/>
    <w:rsid w:val="00383432"/>
    <w:rsid w:val="0038347A"/>
    <w:rsid w:val="003838C3"/>
    <w:rsid w:val="00384E38"/>
    <w:rsid w:val="00385C2D"/>
    <w:rsid w:val="00387785"/>
    <w:rsid w:val="0039077F"/>
    <w:rsid w:val="003912BB"/>
    <w:rsid w:val="00394454"/>
    <w:rsid w:val="0039788C"/>
    <w:rsid w:val="003A188F"/>
    <w:rsid w:val="003A45D9"/>
    <w:rsid w:val="003A4DD4"/>
    <w:rsid w:val="003A511A"/>
    <w:rsid w:val="003A5D5B"/>
    <w:rsid w:val="003A5FF4"/>
    <w:rsid w:val="003A75A3"/>
    <w:rsid w:val="003A78CF"/>
    <w:rsid w:val="003B09A1"/>
    <w:rsid w:val="003B15B6"/>
    <w:rsid w:val="003B329C"/>
    <w:rsid w:val="003B7E31"/>
    <w:rsid w:val="003C0C5D"/>
    <w:rsid w:val="003C15D8"/>
    <w:rsid w:val="003C1666"/>
    <w:rsid w:val="003C191F"/>
    <w:rsid w:val="003C3032"/>
    <w:rsid w:val="003C4BB5"/>
    <w:rsid w:val="003C576F"/>
    <w:rsid w:val="003C6125"/>
    <w:rsid w:val="003C6B3B"/>
    <w:rsid w:val="003C6F82"/>
    <w:rsid w:val="003C7C5D"/>
    <w:rsid w:val="003D05BA"/>
    <w:rsid w:val="003D1A80"/>
    <w:rsid w:val="003D32FE"/>
    <w:rsid w:val="003D36BD"/>
    <w:rsid w:val="003D45C3"/>
    <w:rsid w:val="003D619C"/>
    <w:rsid w:val="003D7E62"/>
    <w:rsid w:val="003E0292"/>
    <w:rsid w:val="003E588B"/>
    <w:rsid w:val="003E7326"/>
    <w:rsid w:val="003F08EA"/>
    <w:rsid w:val="003F0C06"/>
    <w:rsid w:val="003F2D77"/>
    <w:rsid w:val="003F4176"/>
    <w:rsid w:val="003F58B2"/>
    <w:rsid w:val="003F6AAC"/>
    <w:rsid w:val="003F746A"/>
    <w:rsid w:val="0040000F"/>
    <w:rsid w:val="00402F7F"/>
    <w:rsid w:val="004037FC"/>
    <w:rsid w:val="00405536"/>
    <w:rsid w:val="00410A5A"/>
    <w:rsid w:val="00410DC4"/>
    <w:rsid w:val="0041223F"/>
    <w:rsid w:val="00412DF0"/>
    <w:rsid w:val="0041454B"/>
    <w:rsid w:val="00416747"/>
    <w:rsid w:val="00416797"/>
    <w:rsid w:val="0041732C"/>
    <w:rsid w:val="00420143"/>
    <w:rsid w:val="00421157"/>
    <w:rsid w:val="004221BD"/>
    <w:rsid w:val="00422C60"/>
    <w:rsid w:val="004238E6"/>
    <w:rsid w:val="00424545"/>
    <w:rsid w:val="00424E8C"/>
    <w:rsid w:val="0042500F"/>
    <w:rsid w:val="00427BE9"/>
    <w:rsid w:val="00433A51"/>
    <w:rsid w:val="0043407D"/>
    <w:rsid w:val="0043420F"/>
    <w:rsid w:val="004345EB"/>
    <w:rsid w:val="00434636"/>
    <w:rsid w:val="004356B9"/>
    <w:rsid w:val="00436365"/>
    <w:rsid w:val="004368EE"/>
    <w:rsid w:val="004405B8"/>
    <w:rsid w:val="00441282"/>
    <w:rsid w:val="00441955"/>
    <w:rsid w:val="00445CBA"/>
    <w:rsid w:val="0045004A"/>
    <w:rsid w:val="004501C8"/>
    <w:rsid w:val="00450C7B"/>
    <w:rsid w:val="004523D8"/>
    <w:rsid w:val="00453D9E"/>
    <w:rsid w:val="00455FCC"/>
    <w:rsid w:val="00460732"/>
    <w:rsid w:val="00461BA2"/>
    <w:rsid w:val="00462487"/>
    <w:rsid w:val="00463B97"/>
    <w:rsid w:val="0046465A"/>
    <w:rsid w:val="00464A5F"/>
    <w:rsid w:val="004708D0"/>
    <w:rsid w:val="00470C09"/>
    <w:rsid w:val="00471D79"/>
    <w:rsid w:val="00474975"/>
    <w:rsid w:val="00474B03"/>
    <w:rsid w:val="00474B37"/>
    <w:rsid w:val="0047514F"/>
    <w:rsid w:val="004763C1"/>
    <w:rsid w:val="00477B88"/>
    <w:rsid w:val="00477FFE"/>
    <w:rsid w:val="00482162"/>
    <w:rsid w:val="00482CBD"/>
    <w:rsid w:val="00484170"/>
    <w:rsid w:val="00484210"/>
    <w:rsid w:val="004842C0"/>
    <w:rsid w:val="004864D7"/>
    <w:rsid w:val="0048757D"/>
    <w:rsid w:val="0048793E"/>
    <w:rsid w:val="004900F5"/>
    <w:rsid w:val="004902C0"/>
    <w:rsid w:val="004915E6"/>
    <w:rsid w:val="004916AC"/>
    <w:rsid w:val="00492428"/>
    <w:rsid w:val="00494E25"/>
    <w:rsid w:val="00495A9F"/>
    <w:rsid w:val="004968CD"/>
    <w:rsid w:val="00497691"/>
    <w:rsid w:val="004A097F"/>
    <w:rsid w:val="004A1E51"/>
    <w:rsid w:val="004A1EE1"/>
    <w:rsid w:val="004A32CC"/>
    <w:rsid w:val="004A35F0"/>
    <w:rsid w:val="004A4A6B"/>
    <w:rsid w:val="004A4E3B"/>
    <w:rsid w:val="004A4F37"/>
    <w:rsid w:val="004A5C6B"/>
    <w:rsid w:val="004A7346"/>
    <w:rsid w:val="004A7EE6"/>
    <w:rsid w:val="004B0BB9"/>
    <w:rsid w:val="004B11DD"/>
    <w:rsid w:val="004B2438"/>
    <w:rsid w:val="004B2FD4"/>
    <w:rsid w:val="004B32CF"/>
    <w:rsid w:val="004B3C7C"/>
    <w:rsid w:val="004B4C8F"/>
    <w:rsid w:val="004B5127"/>
    <w:rsid w:val="004B58BD"/>
    <w:rsid w:val="004B7280"/>
    <w:rsid w:val="004B74FB"/>
    <w:rsid w:val="004B79CB"/>
    <w:rsid w:val="004C0E88"/>
    <w:rsid w:val="004C0F54"/>
    <w:rsid w:val="004C158F"/>
    <w:rsid w:val="004C17F3"/>
    <w:rsid w:val="004C2717"/>
    <w:rsid w:val="004C4510"/>
    <w:rsid w:val="004C58F4"/>
    <w:rsid w:val="004C70F9"/>
    <w:rsid w:val="004D238F"/>
    <w:rsid w:val="004D295C"/>
    <w:rsid w:val="004D34DE"/>
    <w:rsid w:val="004D3AB4"/>
    <w:rsid w:val="004D405F"/>
    <w:rsid w:val="004D556F"/>
    <w:rsid w:val="004D5B42"/>
    <w:rsid w:val="004D625D"/>
    <w:rsid w:val="004D6312"/>
    <w:rsid w:val="004E1AEC"/>
    <w:rsid w:val="004E1C9A"/>
    <w:rsid w:val="004E1F79"/>
    <w:rsid w:val="004E2792"/>
    <w:rsid w:val="004E3064"/>
    <w:rsid w:val="004E75D0"/>
    <w:rsid w:val="004E7654"/>
    <w:rsid w:val="004E769C"/>
    <w:rsid w:val="004F0A1B"/>
    <w:rsid w:val="004F35B8"/>
    <w:rsid w:val="004F3E8A"/>
    <w:rsid w:val="004F3EBB"/>
    <w:rsid w:val="004F48CA"/>
    <w:rsid w:val="004F4B0C"/>
    <w:rsid w:val="004F5C3A"/>
    <w:rsid w:val="004F645E"/>
    <w:rsid w:val="00500F87"/>
    <w:rsid w:val="005024EF"/>
    <w:rsid w:val="00503708"/>
    <w:rsid w:val="005038C5"/>
    <w:rsid w:val="0050482D"/>
    <w:rsid w:val="0050562F"/>
    <w:rsid w:val="005061CC"/>
    <w:rsid w:val="005063E2"/>
    <w:rsid w:val="005110D8"/>
    <w:rsid w:val="005127C8"/>
    <w:rsid w:val="00512FF8"/>
    <w:rsid w:val="005134A9"/>
    <w:rsid w:val="00515BB1"/>
    <w:rsid w:val="00516384"/>
    <w:rsid w:val="00516F5A"/>
    <w:rsid w:val="00516F80"/>
    <w:rsid w:val="00516F8F"/>
    <w:rsid w:val="00523603"/>
    <w:rsid w:val="005265D9"/>
    <w:rsid w:val="00526F17"/>
    <w:rsid w:val="00527B0A"/>
    <w:rsid w:val="00530AA5"/>
    <w:rsid w:val="00530AE5"/>
    <w:rsid w:val="005321A3"/>
    <w:rsid w:val="00532354"/>
    <w:rsid w:val="00532D1D"/>
    <w:rsid w:val="00533926"/>
    <w:rsid w:val="00535F38"/>
    <w:rsid w:val="005365ED"/>
    <w:rsid w:val="00537C45"/>
    <w:rsid w:val="00540B95"/>
    <w:rsid w:val="00542592"/>
    <w:rsid w:val="0054323A"/>
    <w:rsid w:val="0054333E"/>
    <w:rsid w:val="00545F38"/>
    <w:rsid w:val="0054670B"/>
    <w:rsid w:val="005511E2"/>
    <w:rsid w:val="005534DC"/>
    <w:rsid w:val="00553DC7"/>
    <w:rsid w:val="00555240"/>
    <w:rsid w:val="005555A6"/>
    <w:rsid w:val="0055682C"/>
    <w:rsid w:val="00556A39"/>
    <w:rsid w:val="00557763"/>
    <w:rsid w:val="00562F35"/>
    <w:rsid w:val="00563399"/>
    <w:rsid w:val="00563EB7"/>
    <w:rsid w:val="00564354"/>
    <w:rsid w:val="005645DE"/>
    <w:rsid w:val="00565D65"/>
    <w:rsid w:val="0056659C"/>
    <w:rsid w:val="00566683"/>
    <w:rsid w:val="00567493"/>
    <w:rsid w:val="005705FB"/>
    <w:rsid w:val="005706BF"/>
    <w:rsid w:val="0057167B"/>
    <w:rsid w:val="0057167E"/>
    <w:rsid w:val="005726C4"/>
    <w:rsid w:val="00574317"/>
    <w:rsid w:val="005748D8"/>
    <w:rsid w:val="00575C8F"/>
    <w:rsid w:val="00582C71"/>
    <w:rsid w:val="00586AD0"/>
    <w:rsid w:val="00587A35"/>
    <w:rsid w:val="00587E6B"/>
    <w:rsid w:val="00591369"/>
    <w:rsid w:val="00592334"/>
    <w:rsid w:val="00593271"/>
    <w:rsid w:val="00593C3A"/>
    <w:rsid w:val="00594332"/>
    <w:rsid w:val="00594E34"/>
    <w:rsid w:val="00595555"/>
    <w:rsid w:val="005957BE"/>
    <w:rsid w:val="0059623E"/>
    <w:rsid w:val="005963D5"/>
    <w:rsid w:val="005A03F5"/>
    <w:rsid w:val="005A0604"/>
    <w:rsid w:val="005A120E"/>
    <w:rsid w:val="005A1B36"/>
    <w:rsid w:val="005A3777"/>
    <w:rsid w:val="005A6127"/>
    <w:rsid w:val="005A64F0"/>
    <w:rsid w:val="005A65A6"/>
    <w:rsid w:val="005A6671"/>
    <w:rsid w:val="005A6DF0"/>
    <w:rsid w:val="005A75EF"/>
    <w:rsid w:val="005B11AF"/>
    <w:rsid w:val="005B185E"/>
    <w:rsid w:val="005B2304"/>
    <w:rsid w:val="005B5213"/>
    <w:rsid w:val="005B5DAC"/>
    <w:rsid w:val="005B69D5"/>
    <w:rsid w:val="005B7A36"/>
    <w:rsid w:val="005C1395"/>
    <w:rsid w:val="005C1877"/>
    <w:rsid w:val="005C1B61"/>
    <w:rsid w:val="005C597F"/>
    <w:rsid w:val="005D06AA"/>
    <w:rsid w:val="005D0A97"/>
    <w:rsid w:val="005D1510"/>
    <w:rsid w:val="005D194E"/>
    <w:rsid w:val="005D20EF"/>
    <w:rsid w:val="005D2135"/>
    <w:rsid w:val="005D2FA2"/>
    <w:rsid w:val="005D3A35"/>
    <w:rsid w:val="005D440C"/>
    <w:rsid w:val="005D48AA"/>
    <w:rsid w:val="005D6283"/>
    <w:rsid w:val="005D7F96"/>
    <w:rsid w:val="005E0CA5"/>
    <w:rsid w:val="005E1E87"/>
    <w:rsid w:val="005E2256"/>
    <w:rsid w:val="005E2614"/>
    <w:rsid w:val="005E2A53"/>
    <w:rsid w:val="005E477E"/>
    <w:rsid w:val="005E5411"/>
    <w:rsid w:val="005E581F"/>
    <w:rsid w:val="005E6620"/>
    <w:rsid w:val="005E7598"/>
    <w:rsid w:val="005E7B55"/>
    <w:rsid w:val="005E7DAC"/>
    <w:rsid w:val="005F0710"/>
    <w:rsid w:val="005F07A9"/>
    <w:rsid w:val="005F1332"/>
    <w:rsid w:val="005F19D6"/>
    <w:rsid w:val="005F1C91"/>
    <w:rsid w:val="005F21B8"/>
    <w:rsid w:val="005F238E"/>
    <w:rsid w:val="005F3584"/>
    <w:rsid w:val="005F3ABE"/>
    <w:rsid w:val="005F4EEB"/>
    <w:rsid w:val="005F5D93"/>
    <w:rsid w:val="005F5FBD"/>
    <w:rsid w:val="00600182"/>
    <w:rsid w:val="006007A9"/>
    <w:rsid w:val="00600FEB"/>
    <w:rsid w:val="0060191A"/>
    <w:rsid w:val="0060240A"/>
    <w:rsid w:val="00602901"/>
    <w:rsid w:val="00602978"/>
    <w:rsid w:val="00603BC1"/>
    <w:rsid w:val="00604934"/>
    <w:rsid w:val="00605169"/>
    <w:rsid w:val="00605FFD"/>
    <w:rsid w:val="00610B8A"/>
    <w:rsid w:val="00611DEE"/>
    <w:rsid w:val="006130ED"/>
    <w:rsid w:val="0061369D"/>
    <w:rsid w:val="00613CE9"/>
    <w:rsid w:val="00615921"/>
    <w:rsid w:val="00615CFE"/>
    <w:rsid w:val="006169C8"/>
    <w:rsid w:val="0062024F"/>
    <w:rsid w:val="006220CF"/>
    <w:rsid w:val="00622E84"/>
    <w:rsid w:val="006230FF"/>
    <w:rsid w:val="0062606F"/>
    <w:rsid w:val="00626C10"/>
    <w:rsid w:val="00630550"/>
    <w:rsid w:val="006306D1"/>
    <w:rsid w:val="0063186A"/>
    <w:rsid w:val="006328DE"/>
    <w:rsid w:val="006331AB"/>
    <w:rsid w:val="00634991"/>
    <w:rsid w:val="00636EBD"/>
    <w:rsid w:val="00637209"/>
    <w:rsid w:val="00640013"/>
    <w:rsid w:val="00641178"/>
    <w:rsid w:val="006425A3"/>
    <w:rsid w:val="00643D0F"/>
    <w:rsid w:val="006443B2"/>
    <w:rsid w:val="00645832"/>
    <w:rsid w:val="006479CC"/>
    <w:rsid w:val="0065214D"/>
    <w:rsid w:val="00653F50"/>
    <w:rsid w:val="00654DAD"/>
    <w:rsid w:val="006551FD"/>
    <w:rsid w:val="006556FD"/>
    <w:rsid w:val="006574BB"/>
    <w:rsid w:val="006578C8"/>
    <w:rsid w:val="00660F91"/>
    <w:rsid w:val="006610AA"/>
    <w:rsid w:val="0067005D"/>
    <w:rsid w:val="00670A5C"/>
    <w:rsid w:val="00671BC4"/>
    <w:rsid w:val="006721C4"/>
    <w:rsid w:val="00673D06"/>
    <w:rsid w:val="006742BE"/>
    <w:rsid w:val="00674527"/>
    <w:rsid w:val="00674CDB"/>
    <w:rsid w:val="00674F9B"/>
    <w:rsid w:val="0067616F"/>
    <w:rsid w:val="00676ED5"/>
    <w:rsid w:val="00676FD8"/>
    <w:rsid w:val="00682393"/>
    <w:rsid w:val="00682937"/>
    <w:rsid w:val="00684107"/>
    <w:rsid w:val="00684B9D"/>
    <w:rsid w:val="00687279"/>
    <w:rsid w:val="00690100"/>
    <w:rsid w:val="006908D1"/>
    <w:rsid w:val="00692A63"/>
    <w:rsid w:val="00693CC0"/>
    <w:rsid w:val="0069451E"/>
    <w:rsid w:val="00695AF9"/>
    <w:rsid w:val="00696953"/>
    <w:rsid w:val="006A07BB"/>
    <w:rsid w:val="006A10D1"/>
    <w:rsid w:val="006A3DEC"/>
    <w:rsid w:val="006A441F"/>
    <w:rsid w:val="006A653C"/>
    <w:rsid w:val="006A6D54"/>
    <w:rsid w:val="006A777B"/>
    <w:rsid w:val="006A7A0C"/>
    <w:rsid w:val="006A7F10"/>
    <w:rsid w:val="006B0377"/>
    <w:rsid w:val="006B15EC"/>
    <w:rsid w:val="006B188E"/>
    <w:rsid w:val="006B2111"/>
    <w:rsid w:val="006B275E"/>
    <w:rsid w:val="006B2BD1"/>
    <w:rsid w:val="006B36FC"/>
    <w:rsid w:val="006B3D99"/>
    <w:rsid w:val="006B45DF"/>
    <w:rsid w:val="006B48AA"/>
    <w:rsid w:val="006B73DD"/>
    <w:rsid w:val="006C10EA"/>
    <w:rsid w:val="006C237E"/>
    <w:rsid w:val="006C385C"/>
    <w:rsid w:val="006C3DFA"/>
    <w:rsid w:val="006C45B1"/>
    <w:rsid w:val="006C4740"/>
    <w:rsid w:val="006C4858"/>
    <w:rsid w:val="006C5774"/>
    <w:rsid w:val="006D0CB5"/>
    <w:rsid w:val="006D130F"/>
    <w:rsid w:val="006D1617"/>
    <w:rsid w:val="006D1763"/>
    <w:rsid w:val="006D1C28"/>
    <w:rsid w:val="006D2507"/>
    <w:rsid w:val="006D331B"/>
    <w:rsid w:val="006D3618"/>
    <w:rsid w:val="006D4734"/>
    <w:rsid w:val="006D734A"/>
    <w:rsid w:val="006D7507"/>
    <w:rsid w:val="006E10C2"/>
    <w:rsid w:val="006E15C8"/>
    <w:rsid w:val="006E1AF6"/>
    <w:rsid w:val="006E27B8"/>
    <w:rsid w:val="006E320F"/>
    <w:rsid w:val="006E48D1"/>
    <w:rsid w:val="006E5541"/>
    <w:rsid w:val="006E6565"/>
    <w:rsid w:val="006E780D"/>
    <w:rsid w:val="006F0703"/>
    <w:rsid w:val="006F103A"/>
    <w:rsid w:val="006F1E57"/>
    <w:rsid w:val="006F506B"/>
    <w:rsid w:val="006F50C4"/>
    <w:rsid w:val="006F5188"/>
    <w:rsid w:val="006F58EE"/>
    <w:rsid w:val="006F655E"/>
    <w:rsid w:val="006F73C7"/>
    <w:rsid w:val="007002FB"/>
    <w:rsid w:val="00701192"/>
    <w:rsid w:val="00701CF2"/>
    <w:rsid w:val="007047EF"/>
    <w:rsid w:val="007059DD"/>
    <w:rsid w:val="00706E14"/>
    <w:rsid w:val="007104D2"/>
    <w:rsid w:val="00711009"/>
    <w:rsid w:val="0071188A"/>
    <w:rsid w:val="0071334E"/>
    <w:rsid w:val="00713CBF"/>
    <w:rsid w:val="00713CD8"/>
    <w:rsid w:val="00716916"/>
    <w:rsid w:val="00717C69"/>
    <w:rsid w:val="007201A7"/>
    <w:rsid w:val="00721DC7"/>
    <w:rsid w:val="00722067"/>
    <w:rsid w:val="0072266C"/>
    <w:rsid w:val="00727618"/>
    <w:rsid w:val="0073104A"/>
    <w:rsid w:val="007313A5"/>
    <w:rsid w:val="00731F70"/>
    <w:rsid w:val="00732194"/>
    <w:rsid w:val="007325A2"/>
    <w:rsid w:val="0073393D"/>
    <w:rsid w:val="007363F4"/>
    <w:rsid w:val="007365FA"/>
    <w:rsid w:val="00740A51"/>
    <w:rsid w:val="00742EC8"/>
    <w:rsid w:val="00744CC0"/>
    <w:rsid w:val="00755E44"/>
    <w:rsid w:val="00761239"/>
    <w:rsid w:val="0076184C"/>
    <w:rsid w:val="007625AB"/>
    <w:rsid w:val="00763B8E"/>
    <w:rsid w:val="00764336"/>
    <w:rsid w:val="007665D5"/>
    <w:rsid w:val="00766886"/>
    <w:rsid w:val="007704B1"/>
    <w:rsid w:val="00770BF7"/>
    <w:rsid w:val="007726D3"/>
    <w:rsid w:val="007728BE"/>
    <w:rsid w:val="007739E5"/>
    <w:rsid w:val="00773D95"/>
    <w:rsid w:val="007740DA"/>
    <w:rsid w:val="007746B7"/>
    <w:rsid w:val="00774DB6"/>
    <w:rsid w:val="00775159"/>
    <w:rsid w:val="00780BAF"/>
    <w:rsid w:val="00781CA0"/>
    <w:rsid w:val="00783599"/>
    <w:rsid w:val="00783763"/>
    <w:rsid w:val="00783C2D"/>
    <w:rsid w:val="00783F7A"/>
    <w:rsid w:val="00786552"/>
    <w:rsid w:val="0078771A"/>
    <w:rsid w:val="007903DA"/>
    <w:rsid w:val="00791124"/>
    <w:rsid w:val="00791363"/>
    <w:rsid w:val="00791FCC"/>
    <w:rsid w:val="00792029"/>
    <w:rsid w:val="00792A98"/>
    <w:rsid w:val="00793AA8"/>
    <w:rsid w:val="00795EAB"/>
    <w:rsid w:val="00795EDF"/>
    <w:rsid w:val="007A0CF1"/>
    <w:rsid w:val="007A0D29"/>
    <w:rsid w:val="007A0F08"/>
    <w:rsid w:val="007A7225"/>
    <w:rsid w:val="007B0C05"/>
    <w:rsid w:val="007B10FD"/>
    <w:rsid w:val="007B18DF"/>
    <w:rsid w:val="007B1DC2"/>
    <w:rsid w:val="007B3A69"/>
    <w:rsid w:val="007B3E33"/>
    <w:rsid w:val="007B4893"/>
    <w:rsid w:val="007B565F"/>
    <w:rsid w:val="007B6378"/>
    <w:rsid w:val="007B7C68"/>
    <w:rsid w:val="007C0015"/>
    <w:rsid w:val="007C0859"/>
    <w:rsid w:val="007C21EA"/>
    <w:rsid w:val="007C41AF"/>
    <w:rsid w:val="007C541A"/>
    <w:rsid w:val="007C5E4C"/>
    <w:rsid w:val="007C6EE0"/>
    <w:rsid w:val="007D0254"/>
    <w:rsid w:val="007D1045"/>
    <w:rsid w:val="007D224F"/>
    <w:rsid w:val="007D22FE"/>
    <w:rsid w:val="007D2657"/>
    <w:rsid w:val="007D2DE3"/>
    <w:rsid w:val="007D377D"/>
    <w:rsid w:val="007D3AAA"/>
    <w:rsid w:val="007D3F60"/>
    <w:rsid w:val="007D51C3"/>
    <w:rsid w:val="007D5B86"/>
    <w:rsid w:val="007D62DA"/>
    <w:rsid w:val="007E2E35"/>
    <w:rsid w:val="007E34DA"/>
    <w:rsid w:val="007E4436"/>
    <w:rsid w:val="007E7E96"/>
    <w:rsid w:val="007F31C5"/>
    <w:rsid w:val="007F3E3A"/>
    <w:rsid w:val="007F42E2"/>
    <w:rsid w:val="007F4CE1"/>
    <w:rsid w:val="007F59C5"/>
    <w:rsid w:val="007F64EA"/>
    <w:rsid w:val="00800215"/>
    <w:rsid w:val="00800DB9"/>
    <w:rsid w:val="00802407"/>
    <w:rsid w:val="00802D6C"/>
    <w:rsid w:val="00803353"/>
    <w:rsid w:val="00803D4D"/>
    <w:rsid w:val="008048DA"/>
    <w:rsid w:val="00805C54"/>
    <w:rsid w:val="00805E7E"/>
    <w:rsid w:val="008102CB"/>
    <w:rsid w:val="008106E5"/>
    <w:rsid w:val="008139A6"/>
    <w:rsid w:val="00813E04"/>
    <w:rsid w:val="00814125"/>
    <w:rsid w:val="00814D13"/>
    <w:rsid w:val="00815B6E"/>
    <w:rsid w:val="0082007A"/>
    <w:rsid w:val="0082186B"/>
    <w:rsid w:val="008222A7"/>
    <w:rsid w:val="008246C6"/>
    <w:rsid w:val="008249C9"/>
    <w:rsid w:val="00824A1B"/>
    <w:rsid w:val="00826A5D"/>
    <w:rsid w:val="0082756B"/>
    <w:rsid w:val="008277F8"/>
    <w:rsid w:val="00827927"/>
    <w:rsid w:val="00827B10"/>
    <w:rsid w:val="008302D5"/>
    <w:rsid w:val="0083042B"/>
    <w:rsid w:val="00832A0D"/>
    <w:rsid w:val="00834206"/>
    <w:rsid w:val="00834DFF"/>
    <w:rsid w:val="00836807"/>
    <w:rsid w:val="00836C17"/>
    <w:rsid w:val="00836C54"/>
    <w:rsid w:val="00840065"/>
    <w:rsid w:val="00842A14"/>
    <w:rsid w:val="00842A63"/>
    <w:rsid w:val="00842CF0"/>
    <w:rsid w:val="00844F44"/>
    <w:rsid w:val="0084503E"/>
    <w:rsid w:val="008450DB"/>
    <w:rsid w:val="00845310"/>
    <w:rsid w:val="00846FE7"/>
    <w:rsid w:val="008471B0"/>
    <w:rsid w:val="008511FD"/>
    <w:rsid w:val="0085270B"/>
    <w:rsid w:val="00853FD5"/>
    <w:rsid w:val="00856F12"/>
    <w:rsid w:val="0085740D"/>
    <w:rsid w:val="008622BC"/>
    <w:rsid w:val="00862D5C"/>
    <w:rsid w:val="00867E4C"/>
    <w:rsid w:val="0087001C"/>
    <w:rsid w:val="00870881"/>
    <w:rsid w:val="0087344B"/>
    <w:rsid w:val="008737AC"/>
    <w:rsid w:val="00874AB3"/>
    <w:rsid w:val="00874CF0"/>
    <w:rsid w:val="0087527B"/>
    <w:rsid w:val="00876061"/>
    <w:rsid w:val="0087697F"/>
    <w:rsid w:val="00877974"/>
    <w:rsid w:val="00877F17"/>
    <w:rsid w:val="00881DA7"/>
    <w:rsid w:val="00881F32"/>
    <w:rsid w:val="008847B9"/>
    <w:rsid w:val="00885329"/>
    <w:rsid w:val="0088535D"/>
    <w:rsid w:val="00887A97"/>
    <w:rsid w:val="0089126F"/>
    <w:rsid w:val="008916AB"/>
    <w:rsid w:val="00891789"/>
    <w:rsid w:val="008921B3"/>
    <w:rsid w:val="00892458"/>
    <w:rsid w:val="00893CCF"/>
    <w:rsid w:val="00896597"/>
    <w:rsid w:val="00896AF3"/>
    <w:rsid w:val="0089757A"/>
    <w:rsid w:val="00897E62"/>
    <w:rsid w:val="008A1AC6"/>
    <w:rsid w:val="008A307E"/>
    <w:rsid w:val="008A3CB7"/>
    <w:rsid w:val="008A45B3"/>
    <w:rsid w:val="008A4A72"/>
    <w:rsid w:val="008A52EC"/>
    <w:rsid w:val="008A575F"/>
    <w:rsid w:val="008A5F5A"/>
    <w:rsid w:val="008A6258"/>
    <w:rsid w:val="008A6305"/>
    <w:rsid w:val="008A6D4D"/>
    <w:rsid w:val="008A73C2"/>
    <w:rsid w:val="008B027E"/>
    <w:rsid w:val="008B053B"/>
    <w:rsid w:val="008B1828"/>
    <w:rsid w:val="008B273E"/>
    <w:rsid w:val="008B28C2"/>
    <w:rsid w:val="008B3AFE"/>
    <w:rsid w:val="008B3BAB"/>
    <w:rsid w:val="008B659D"/>
    <w:rsid w:val="008B6A91"/>
    <w:rsid w:val="008C05F8"/>
    <w:rsid w:val="008C0BEE"/>
    <w:rsid w:val="008C24C3"/>
    <w:rsid w:val="008C429F"/>
    <w:rsid w:val="008C4F68"/>
    <w:rsid w:val="008C5F2A"/>
    <w:rsid w:val="008C6178"/>
    <w:rsid w:val="008C6E2F"/>
    <w:rsid w:val="008C710B"/>
    <w:rsid w:val="008D0E1A"/>
    <w:rsid w:val="008D13BB"/>
    <w:rsid w:val="008D1470"/>
    <w:rsid w:val="008D1866"/>
    <w:rsid w:val="008D1CAB"/>
    <w:rsid w:val="008D2D26"/>
    <w:rsid w:val="008D2F09"/>
    <w:rsid w:val="008D4971"/>
    <w:rsid w:val="008D4E13"/>
    <w:rsid w:val="008D5A0C"/>
    <w:rsid w:val="008D761E"/>
    <w:rsid w:val="008E1309"/>
    <w:rsid w:val="008E1A03"/>
    <w:rsid w:val="008E2486"/>
    <w:rsid w:val="008E301F"/>
    <w:rsid w:val="008E3169"/>
    <w:rsid w:val="008E3DE1"/>
    <w:rsid w:val="008E4C6D"/>
    <w:rsid w:val="008E6746"/>
    <w:rsid w:val="008E679B"/>
    <w:rsid w:val="008E68FD"/>
    <w:rsid w:val="008E6E5A"/>
    <w:rsid w:val="008F04AB"/>
    <w:rsid w:val="008F1591"/>
    <w:rsid w:val="008F29C2"/>
    <w:rsid w:val="008F4486"/>
    <w:rsid w:val="008F4947"/>
    <w:rsid w:val="00900EF8"/>
    <w:rsid w:val="00902529"/>
    <w:rsid w:val="009035B4"/>
    <w:rsid w:val="0090474C"/>
    <w:rsid w:val="00905FF1"/>
    <w:rsid w:val="0091124E"/>
    <w:rsid w:val="00911427"/>
    <w:rsid w:val="00914B4E"/>
    <w:rsid w:val="009158F5"/>
    <w:rsid w:val="00917FCA"/>
    <w:rsid w:val="00922A2C"/>
    <w:rsid w:val="00923EC9"/>
    <w:rsid w:val="00924684"/>
    <w:rsid w:val="009258DF"/>
    <w:rsid w:val="0092686E"/>
    <w:rsid w:val="00927C81"/>
    <w:rsid w:val="00930D42"/>
    <w:rsid w:val="0093429C"/>
    <w:rsid w:val="0093572D"/>
    <w:rsid w:val="009367FD"/>
    <w:rsid w:val="00936979"/>
    <w:rsid w:val="00937FE3"/>
    <w:rsid w:val="00940049"/>
    <w:rsid w:val="009416B9"/>
    <w:rsid w:val="0094219A"/>
    <w:rsid w:val="00942876"/>
    <w:rsid w:val="009432FA"/>
    <w:rsid w:val="009442C3"/>
    <w:rsid w:val="00945082"/>
    <w:rsid w:val="009457EE"/>
    <w:rsid w:val="00946020"/>
    <w:rsid w:val="0094730E"/>
    <w:rsid w:val="00947B8E"/>
    <w:rsid w:val="00950385"/>
    <w:rsid w:val="009506AD"/>
    <w:rsid w:val="0095106E"/>
    <w:rsid w:val="009523F3"/>
    <w:rsid w:val="00953966"/>
    <w:rsid w:val="00953FC8"/>
    <w:rsid w:val="00954554"/>
    <w:rsid w:val="00954890"/>
    <w:rsid w:val="00956059"/>
    <w:rsid w:val="00956E9D"/>
    <w:rsid w:val="00957026"/>
    <w:rsid w:val="009605A1"/>
    <w:rsid w:val="00960BFF"/>
    <w:rsid w:val="00961FFE"/>
    <w:rsid w:val="0096301A"/>
    <w:rsid w:val="0096614A"/>
    <w:rsid w:val="009665DC"/>
    <w:rsid w:val="0096703E"/>
    <w:rsid w:val="009673D6"/>
    <w:rsid w:val="00970F4F"/>
    <w:rsid w:val="00971DA3"/>
    <w:rsid w:val="009720CA"/>
    <w:rsid w:val="00973EB1"/>
    <w:rsid w:val="00975C50"/>
    <w:rsid w:val="00976CDC"/>
    <w:rsid w:val="00976D55"/>
    <w:rsid w:val="00980037"/>
    <w:rsid w:val="009806DC"/>
    <w:rsid w:val="0098080C"/>
    <w:rsid w:val="00981AD7"/>
    <w:rsid w:val="00983236"/>
    <w:rsid w:val="0098583F"/>
    <w:rsid w:val="00985F90"/>
    <w:rsid w:val="009933CC"/>
    <w:rsid w:val="00993BBC"/>
    <w:rsid w:val="00993D16"/>
    <w:rsid w:val="00994370"/>
    <w:rsid w:val="00994EA5"/>
    <w:rsid w:val="00995769"/>
    <w:rsid w:val="00996A1F"/>
    <w:rsid w:val="009A01F1"/>
    <w:rsid w:val="009A01FF"/>
    <w:rsid w:val="009A0633"/>
    <w:rsid w:val="009A1DDF"/>
    <w:rsid w:val="009A2665"/>
    <w:rsid w:val="009A2CCC"/>
    <w:rsid w:val="009A3A2E"/>
    <w:rsid w:val="009A3B3C"/>
    <w:rsid w:val="009A51F0"/>
    <w:rsid w:val="009A6161"/>
    <w:rsid w:val="009A6A6A"/>
    <w:rsid w:val="009A7480"/>
    <w:rsid w:val="009A7B7D"/>
    <w:rsid w:val="009A7DA8"/>
    <w:rsid w:val="009A7EB4"/>
    <w:rsid w:val="009B0D1C"/>
    <w:rsid w:val="009B0EEB"/>
    <w:rsid w:val="009B1ACA"/>
    <w:rsid w:val="009B4806"/>
    <w:rsid w:val="009B4C5C"/>
    <w:rsid w:val="009B4CFA"/>
    <w:rsid w:val="009B5986"/>
    <w:rsid w:val="009B77B1"/>
    <w:rsid w:val="009B7DF9"/>
    <w:rsid w:val="009C0838"/>
    <w:rsid w:val="009C1A34"/>
    <w:rsid w:val="009C4D4F"/>
    <w:rsid w:val="009C5755"/>
    <w:rsid w:val="009C697D"/>
    <w:rsid w:val="009D2AFF"/>
    <w:rsid w:val="009D3DB1"/>
    <w:rsid w:val="009D47B6"/>
    <w:rsid w:val="009D7521"/>
    <w:rsid w:val="009D796F"/>
    <w:rsid w:val="009D7ED2"/>
    <w:rsid w:val="009E001D"/>
    <w:rsid w:val="009E12C0"/>
    <w:rsid w:val="009E17E2"/>
    <w:rsid w:val="009E2EBB"/>
    <w:rsid w:val="009E5A80"/>
    <w:rsid w:val="009E5C08"/>
    <w:rsid w:val="009E5E2B"/>
    <w:rsid w:val="009E7BB3"/>
    <w:rsid w:val="009F089E"/>
    <w:rsid w:val="009F0AEA"/>
    <w:rsid w:val="009F0F34"/>
    <w:rsid w:val="009F1617"/>
    <w:rsid w:val="009F1D10"/>
    <w:rsid w:val="009F48AC"/>
    <w:rsid w:val="009F4E51"/>
    <w:rsid w:val="009F50A3"/>
    <w:rsid w:val="009F552D"/>
    <w:rsid w:val="009F6CB0"/>
    <w:rsid w:val="009F6D33"/>
    <w:rsid w:val="00A02610"/>
    <w:rsid w:val="00A028E7"/>
    <w:rsid w:val="00A03C65"/>
    <w:rsid w:val="00A045E2"/>
    <w:rsid w:val="00A105BC"/>
    <w:rsid w:val="00A12DD9"/>
    <w:rsid w:val="00A12F62"/>
    <w:rsid w:val="00A1305C"/>
    <w:rsid w:val="00A14625"/>
    <w:rsid w:val="00A147F7"/>
    <w:rsid w:val="00A14C0E"/>
    <w:rsid w:val="00A14D10"/>
    <w:rsid w:val="00A14DA9"/>
    <w:rsid w:val="00A14F5A"/>
    <w:rsid w:val="00A1506C"/>
    <w:rsid w:val="00A1527D"/>
    <w:rsid w:val="00A153F8"/>
    <w:rsid w:val="00A16477"/>
    <w:rsid w:val="00A16ABF"/>
    <w:rsid w:val="00A16B36"/>
    <w:rsid w:val="00A20484"/>
    <w:rsid w:val="00A234A3"/>
    <w:rsid w:val="00A24A75"/>
    <w:rsid w:val="00A25131"/>
    <w:rsid w:val="00A33D17"/>
    <w:rsid w:val="00A3504F"/>
    <w:rsid w:val="00A36EF2"/>
    <w:rsid w:val="00A3718C"/>
    <w:rsid w:val="00A4001C"/>
    <w:rsid w:val="00A42CC2"/>
    <w:rsid w:val="00A44804"/>
    <w:rsid w:val="00A459F2"/>
    <w:rsid w:val="00A45C4F"/>
    <w:rsid w:val="00A46C7B"/>
    <w:rsid w:val="00A47BDC"/>
    <w:rsid w:val="00A52618"/>
    <w:rsid w:val="00A55494"/>
    <w:rsid w:val="00A554D9"/>
    <w:rsid w:val="00A564A5"/>
    <w:rsid w:val="00A571CA"/>
    <w:rsid w:val="00A600F0"/>
    <w:rsid w:val="00A6171B"/>
    <w:rsid w:val="00A643D6"/>
    <w:rsid w:val="00A659D9"/>
    <w:rsid w:val="00A66A7F"/>
    <w:rsid w:val="00A70FD3"/>
    <w:rsid w:val="00A7407A"/>
    <w:rsid w:val="00A741E5"/>
    <w:rsid w:val="00A80356"/>
    <w:rsid w:val="00A80364"/>
    <w:rsid w:val="00A81507"/>
    <w:rsid w:val="00A84948"/>
    <w:rsid w:val="00A8621C"/>
    <w:rsid w:val="00A869D0"/>
    <w:rsid w:val="00A87906"/>
    <w:rsid w:val="00A879A9"/>
    <w:rsid w:val="00A918CE"/>
    <w:rsid w:val="00A923CE"/>
    <w:rsid w:val="00A9253B"/>
    <w:rsid w:val="00A929DD"/>
    <w:rsid w:val="00A937C5"/>
    <w:rsid w:val="00A93ABA"/>
    <w:rsid w:val="00A94B86"/>
    <w:rsid w:val="00A9540B"/>
    <w:rsid w:val="00A9550C"/>
    <w:rsid w:val="00AA0494"/>
    <w:rsid w:val="00AA17BD"/>
    <w:rsid w:val="00AA3E5D"/>
    <w:rsid w:val="00AA5417"/>
    <w:rsid w:val="00AA57AC"/>
    <w:rsid w:val="00AA6286"/>
    <w:rsid w:val="00AB07BC"/>
    <w:rsid w:val="00AB0E40"/>
    <w:rsid w:val="00AB1C48"/>
    <w:rsid w:val="00AB27AC"/>
    <w:rsid w:val="00AB30D7"/>
    <w:rsid w:val="00AB3A4C"/>
    <w:rsid w:val="00AC1E3D"/>
    <w:rsid w:val="00AC1E4A"/>
    <w:rsid w:val="00AC1F8E"/>
    <w:rsid w:val="00AC2299"/>
    <w:rsid w:val="00AC3685"/>
    <w:rsid w:val="00AC3E3B"/>
    <w:rsid w:val="00AC4E9D"/>
    <w:rsid w:val="00AC5288"/>
    <w:rsid w:val="00AC5BBE"/>
    <w:rsid w:val="00AC75D5"/>
    <w:rsid w:val="00AC7C19"/>
    <w:rsid w:val="00AC7E0F"/>
    <w:rsid w:val="00AD10BE"/>
    <w:rsid w:val="00AD1F20"/>
    <w:rsid w:val="00AD50A6"/>
    <w:rsid w:val="00AD552D"/>
    <w:rsid w:val="00AD5825"/>
    <w:rsid w:val="00AE01E0"/>
    <w:rsid w:val="00AE0F82"/>
    <w:rsid w:val="00AE1EB6"/>
    <w:rsid w:val="00AE1FAC"/>
    <w:rsid w:val="00AE224E"/>
    <w:rsid w:val="00AE4EB0"/>
    <w:rsid w:val="00AE585D"/>
    <w:rsid w:val="00AE608F"/>
    <w:rsid w:val="00AE732B"/>
    <w:rsid w:val="00AE775D"/>
    <w:rsid w:val="00AE7FB6"/>
    <w:rsid w:val="00AF4F38"/>
    <w:rsid w:val="00AF5B03"/>
    <w:rsid w:val="00AF5FDA"/>
    <w:rsid w:val="00AF720C"/>
    <w:rsid w:val="00B0184A"/>
    <w:rsid w:val="00B019F2"/>
    <w:rsid w:val="00B032CA"/>
    <w:rsid w:val="00B03407"/>
    <w:rsid w:val="00B03A7B"/>
    <w:rsid w:val="00B04680"/>
    <w:rsid w:val="00B103BC"/>
    <w:rsid w:val="00B11433"/>
    <w:rsid w:val="00B16662"/>
    <w:rsid w:val="00B17DD4"/>
    <w:rsid w:val="00B17F90"/>
    <w:rsid w:val="00B21475"/>
    <w:rsid w:val="00B23C5D"/>
    <w:rsid w:val="00B2540A"/>
    <w:rsid w:val="00B25AC8"/>
    <w:rsid w:val="00B26386"/>
    <w:rsid w:val="00B27BA1"/>
    <w:rsid w:val="00B30347"/>
    <w:rsid w:val="00B31585"/>
    <w:rsid w:val="00B316E1"/>
    <w:rsid w:val="00B328A5"/>
    <w:rsid w:val="00B3356A"/>
    <w:rsid w:val="00B337FC"/>
    <w:rsid w:val="00B348A7"/>
    <w:rsid w:val="00B3773D"/>
    <w:rsid w:val="00B43E37"/>
    <w:rsid w:val="00B51C12"/>
    <w:rsid w:val="00B52820"/>
    <w:rsid w:val="00B53094"/>
    <w:rsid w:val="00B54AE8"/>
    <w:rsid w:val="00B56415"/>
    <w:rsid w:val="00B60E29"/>
    <w:rsid w:val="00B616A9"/>
    <w:rsid w:val="00B61FB6"/>
    <w:rsid w:val="00B62188"/>
    <w:rsid w:val="00B653EB"/>
    <w:rsid w:val="00B6558C"/>
    <w:rsid w:val="00B678C5"/>
    <w:rsid w:val="00B704A4"/>
    <w:rsid w:val="00B70AC0"/>
    <w:rsid w:val="00B727CF"/>
    <w:rsid w:val="00B729A8"/>
    <w:rsid w:val="00B73F9C"/>
    <w:rsid w:val="00B75D5F"/>
    <w:rsid w:val="00B7693D"/>
    <w:rsid w:val="00B77D0B"/>
    <w:rsid w:val="00B80AE1"/>
    <w:rsid w:val="00B81B7F"/>
    <w:rsid w:val="00B81F28"/>
    <w:rsid w:val="00B82927"/>
    <w:rsid w:val="00B82FAC"/>
    <w:rsid w:val="00B842B5"/>
    <w:rsid w:val="00B85C35"/>
    <w:rsid w:val="00B86857"/>
    <w:rsid w:val="00B87ADC"/>
    <w:rsid w:val="00B87C1F"/>
    <w:rsid w:val="00B94D5E"/>
    <w:rsid w:val="00B95A81"/>
    <w:rsid w:val="00B97763"/>
    <w:rsid w:val="00BA08F4"/>
    <w:rsid w:val="00BA0CA4"/>
    <w:rsid w:val="00BA23D1"/>
    <w:rsid w:val="00BA27B4"/>
    <w:rsid w:val="00BA2892"/>
    <w:rsid w:val="00BA2CE9"/>
    <w:rsid w:val="00BA2F41"/>
    <w:rsid w:val="00BA34D2"/>
    <w:rsid w:val="00BA3887"/>
    <w:rsid w:val="00BA3EA3"/>
    <w:rsid w:val="00BA5A3D"/>
    <w:rsid w:val="00BA5A67"/>
    <w:rsid w:val="00BA61C4"/>
    <w:rsid w:val="00BA6FBC"/>
    <w:rsid w:val="00BA7FEF"/>
    <w:rsid w:val="00BB0041"/>
    <w:rsid w:val="00BB114F"/>
    <w:rsid w:val="00BB11B9"/>
    <w:rsid w:val="00BB12BA"/>
    <w:rsid w:val="00BB3E4B"/>
    <w:rsid w:val="00BB5B0A"/>
    <w:rsid w:val="00BB6CD3"/>
    <w:rsid w:val="00BB7949"/>
    <w:rsid w:val="00BB7B02"/>
    <w:rsid w:val="00BB7BFE"/>
    <w:rsid w:val="00BB7FAA"/>
    <w:rsid w:val="00BC10C9"/>
    <w:rsid w:val="00BC3A54"/>
    <w:rsid w:val="00BC4685"/>
    <w:rsid w:val="00BC7C78"/>
    <w:rsid w:val="00BD0CC3"/>
    <w:rsid w:val="00BD0D87"/>
    <w:rsid w:val="00BD1268"/>
    <w:rsid w:val="00BD232D"/>
    <w:rsid w:val="00BD2F9D"/>
    <w:rsid w:val="00BD3334"/>
    <w:rsid w:val="00BD3821"/>
    <w:rsid w:val="00BD38C6"/>
    <w:rsid w:val="00BD49EA"/>
    <w:rsid w:val="00BD5677"/>
    <w:rsid w:val="00BE0824"/>
    <w:rsid w:val="00BE11C7"/>
    <w:rsid w:val="00BE5A68"/>
    <w:rsid w:val="00BE702F"/>
    <w:rsid w:val="00BF06FF"/>
    <w:rsid w:val="00BF1C47"/>
    <w:rsid w:val="00BF2A89"/>
    <w:rsid w:val="00BF2D8B"/>
    <w:rsid w:val="00BF30D9"/>
    <w:rsid w:val="00BF51BA"/>
    <w:rsid w:val="00BF5BAC"/>
    <w:rsid w:val="00C001FC"/>
    <w:rsid w:val="00C01033"/>
    <w:rsid w:val="00C0270C"/>
    <w:rsid w:val="00C04C31"/>
    <w:rsid w:val="00C05699"/>
    <w:rsid w:val="00C0650C"/>
    <w:rsid w:val="00C07647"/>
    <w:rsid w:val="00C11691"/>
    <w:rsid w:val="00C11AB5"/>
    <w:rsid w:val="00C13E28"/>
    <w:rsid w:val="00C161F4"/>
    <w:rsid w:val="00C176BE"/>
    <w:rsid w:val="00C17F86"/>
    <w:rsid w:val="00C202D0"/>
    <w:rsid w:val="00C2399A"/>
    <w:rsid w:val="00C24C95"/>
    <w:rsid w:val="00C2550F"/>
    <w:rsid w:val="00C25E3E"/>
    <w:rsid w:val="00C26257"/>
    <w:rsid w:val="00C267D8"/>
    <w:rsid w:val="00C272CF"/>
    <w:rsid w:val="00C277A2"/>
    <w:rsid w:val="00C27C72"/>
    <w:rsid w:val="00C310BA"/>
    <w:rsid w:val="00C334E6"/>
    <w:rsid w:val="00C33E09"/>
    <w:rsid w:val="00C357DE"/>
    <w:rsid w:val="00C36520"/>
    <w:rsid w:val="00C37B6F"/>
    <w:rsid w:val="00C40531"/>
    <w:rsid w:val="00C40B52"/>
    <w:rsid w:val="00C4116E"/>
    <w:rsid w:val="00C41299"/>
    <w:rsid w:val="00C41345"/>
    <w:rsid w:val="00C42792"/>
    <w:rsid w:val="00C432B6"/>
    <w:rsid w:val="00C433C0"/>
    <w:rsid w:val="00C466D7"/>
    <w:rsid w:val="00C47546"/>
    <w:rsid w:val="00C500CD"/>
    <w:rsid w:val="00C514E7"/>
    <w:rsid w:val="00C517C0"/>
    <w:rsid w:val="00C51D16"/>
    <w:rsid w:val="00C52956"/>
    <w:rsid w:val="00C544B6"/>
    <w:rsid w:val="00C5518D"/>
    <w:rsid w:val="00C57A3F"/>
    <w:rsid w:val="00C631B4"/>
    <w:rsid w:val="00C65139"/>
    <w:rsid w:val="00C65255"/>
    <w:rsid w:val="00C65DF7"/>
    <w:rsid w:val="00C6615F"/>
    <w:rsid w:val="00C663BF"/>
    <w:rsid w:val="00C66A5B"/>
    <w:rsid w:val="00C66F81"/>
    <w:rsid w:val="00C675D3"/>
    <w:rsid w:val="00C70F2D"/>
    <w:rsid w:val="00C71713"/>
    <w:rsid w:val="00C73978"/>
    <w:rsid w:val="00C7609D"/>
    <w:rsid w:val="00C76322"/>
    <w:rsid w:val="00C765EE"/>
    <w:rsid w:val="00C775C0"/>
    <w:rsid w:val="00C77D2E"/>
    <w:rsid w:val="00C804F2"/>
    <w:rsid w:val="00C8053F"/>
    <w:rsid w:val="00C810D8"/>
    <w:rsid w:val="00C8213B"/>
    <w:rsid w:val="00C870D6"/>
    <w:rsid w:val="00C87EC0"/>
    <w:rsid w:val="00C90E11"/>
    <w:rsid w:val="00C912C3"/>
    <w:rsid w:val="00C9173C"/>
    <w:rsid w:val="00C93A02"/>
    <w:rsid w:val="00C93D6E"/>
    <w:rsid w:val="00C93EB0"/>
    <w:rsid w:val="00C96361"/>
    <w:rsid w:val="00CA124A"/>
    <w:rsid w:val="00CA38DB"/>
    <w:rsid w:val="00CA7C39"/>
    <w:rsid w:val="00CB5030"/>
    <w:rsid w:val="00CB68A9"/>
    <w:rsid w:val="00CB7B37"/>
    <w:rsid w:val="00CB7E1A"/>
    <w:rsid w:val="00CB7F87"/>
    <w:rsid w:val="00CC1F41"/>
    <w:rsid w:val="00CC2D16"/>
    <w:rsid w:val="00CC550E"/>
    <w:rsid w:val="00CC5EFB"/>
    <w:rsid w:val="00CC6B66"/>
    <w:rsid w:val="00CC753A"/>
    <w:rsid w:val="00CC7FDD"/>
    <w:rsid w:val="00CD1440"/>
    <w:rsid w:val="00CD194E"/>
    <w:rsid w:val="00CD23B7"/>
    <w:rsid w:val="00CD4324"/>
    <w:rsid w:val="00CD657C"/>
    <w:rsid w:val="00CD66DC"/>
    <w:rsid w:val="00CE0B70"/>
    <w:rsid w:val="00CE3169"/>
    <w:rsid w:val="00CE4FBD"/>
    <w:rsid w:val="00CE51E0"/>
    <w:rsid w:val="00CE59C6"/>
    <w:rsid w:val="00CE5A5D"/>
    <w:rsid w:val="00CE6756"/>
    <w:rsid w:val="00CE6B45"/>
    <w:rsid w:val="00CF01AF"/>
    <w:rsid w:val="00CF12CB"/>
    <w:rsid w:val="00CF175C"/>
    <w:rsid w:val="00CF1808"/>
    <w:rsid w:val="00CF19EF"/>
    <w:rsid w:val="00CF2B42"/>
    <w:rsid w:val="00CF58A0"/>
    <w:rsid w:val="00CF7EED"/>
    <w:rsid w:val="00D012A3"/>
    <w:rsid w:val="00D027BD"/>
    <w:rsid w:val="00D02D20"/>
    <w:rsid w:val="00D0607C"/>
    <w:rsid w:val="00D06861"/>
    <w:rsid w:val="00D10B7B"/>
    <w:rsid w:val="00D125EC"/>
    <w:rsid w:val="00D14AC8"/>
    <w:rsid w:val="00D165B6"/>
    <w:rsid w:val="00D20AA8"/>
    <w:rsid w:val="00D2482A"/>
    <w:rsid w:val="00D256A1"/>
    <w:rsid w:val="00D262CA"/>
    <w:rsid w:val="00D265CA"/>
    <w:rsid w:val="00D26D35"/>
    <w:rsid w:val="00D3031C"/>
    <w:rsid w:val="00D307DC"/>
    <w:rsid w:val="00D308CA"/>
    <w:rsid w:val="00D309D7"/>
    <w:rsid w:val="00D30B6E"/>
    <w:rsid w:val="00D31050"/>
    <w:rsid w:val="00D33E6D"/>
    <w:rsid w:val="00D33FED"/>
    <w:rsid w:val="00D34C4C"/>
    <w:rsid w:val="00D400D3"/>
    <w:rsid w:val="00D421E9"/>
    <w:rsid w:val="00D42547"/>
    <w:rsid w:val="00D42D23"/>
    <w:rsid w:val="00D44F5C"/>
    <w:rsid w:val="00D468B1"/>
    <w:rsid w:val="00D46CF3"/>
    <w:rsid w:val="00D47A85"/>
    <w:rsid w:val="00D51D54"/>
    <w:rsid w:val="00D52A31"/>
    <w:rsid w:val="00D52E9B"/>
    <w:rsid w:val="00D53A70"/>
    <w:rsid w:val="00D53BE0"/>
    <w:rsid w:val="00D53D4F"/>
    <w:rsid w:val="00D551E8"/>
    <w:rsid w:val="00D56154"/>
    <w:rsid w:val="00D62199"/>
    <w:rsid w:val="00D63651"/>
    <w:rsid w:val="00D65611"/>
    <w:rsid w:val="00D6777E"/>
    <w:rsid w:val="00D7094E"/>
    <w:rsid w:val="00D70BD4"/>
    <w:rsid w:val="00D729AF"/>
    <w:rsid w:val="00D74234"/>
    <w:rsid w:val="00D74E59"/>
    <w:rsid w:val="00D74E96"/>
    <w:rsid w:val="00D766D1"/>
    <w:rsid w:val="00D83563"/>
    <w:rsid w:val="00D83B93"/>
    <w:rsid w:val="00D844E3"/>
    <w:rsid w:val="00D844FC"/>
    <w:rsid w:val="00D85925"/>
    <w:rsid w:val="00D868A9"/>
    <w:rsid w:val="00D87939"/>
    <w:rsid w:val="00D90C67"/>
    <w:rsid w:val="00D916F2"/>
    <w:rsid w:val="00D92134"/>
    <w:rsid w:val="00D93C23"/>
    <w:rsid w:val="00D94857"/>
    <w:rsid w:val="00D94AEA"/>
    <w:rsid w:val="00D94FA4"/>
    <w:rsid w:val="00D96D38"/>
    <w:rsid w:val="00D97868"/>
    <w:rsid w:val="00D97D7B"/>
    <w:rsid w:val="00DA16EF"/>
    <w:rsid w:val="00DA2BE0"/>
    <w:rsid w:val="00DA4735"/>
    <w:rsid w:val="00DA4AE5"/>
    <w:rsid w:val="00DA4CD9"/>
    <w:rsid w:val="00DA4F25"/>
    <w:rsid w:val="00DA6D09"/>
    <w:rsid w:val="00DB043C"/>
    <w:rsid w:val="00DB101E"/>
    <w:rsid w:val="00DB3ED1"/>
    <w:rsid w:val="00DB7186"/>
    <w:rsid w:val="00DB790C"/>
    <w:rsid w:val="00DC14D6"/>
    <w:rsid w:val="00DC16D3"/>
    <w:rsid w:val="00DC1FAD"/>
    <w:rsid w:val="00DC201D"/>
    <w:rsid w:val="00DC20CF"/>
    <w:rsid w:val="00DC42A4"/>
    <w:rsid w:val="00DC707D"/>
    <w:rsid w:val="00DC78B5"/>
    <w:rsid w:val="00DD1629"/>
    <w:rsid w:val="00DD386B"/>
    <w:rsid w:val="00DD3CA5"/>
    <w:rsid w:val="00DD3E1B"/>
    <w:rsid w:val="00DD3E2D"/>
    <w:rsid w:val="00DD495C"/>
    <w:rsid w:val="00DD7DBC"/>
    <w:rsid w:val="00DE032B"/>
    <w:rsid w:val="00DE0556"/>
    <w:rsid w:val="00DE0766"/>
    <w:rsid w:val="00DE2532"/>
    <w:rsid w:val="00DE2663"/>
    <w:rsid w:val="00DE52C3"/>
    <w:rsid w:val="00DE5B59"/>
    <w:rsid w:val="00DE5F5D"/>
    <w:rsid w:val="00DE6168"/>
    <w:rsid w:val="00DE7742"/>
    <w:rsid w:val="00DE7A42"/>
    <w:rsid w:val="00DE7B6B"/>
    <w:rsid w:val="00DE7D55"/>
    <w:rsid w:val="00DF1914"/>
    <w:rsid w:val="00DF22EA"/>
    <w:rsid w:val="00DF3F73"/>
    <w:rsid w:val="00DF549E"/>
    <w:rsid w:val="00DF5E75"/>
    <w:rsid w:val="00DF602D"/>
    <w:rsid w:val="00E007FB"/>
    <w:rsid w:val="00E00849"/>
    <w:rsid w:val="00E00F11"/>
    <w:rsid w:val="00E02A3E"/>
    <w:rsid w:val="00E04692"/>
    <w:rsid w:val="00E04A89"/>
    <w:rsid w:val="00E062E8"/>
    <w:rsid w:val="00E06E43"/>
    <w:rsid w:val="00E07474"/>
    <w:rsid w:val="00E07EA5"/>
    <w:rsid w:val="00E1230E"/>
    <w:rsid w:val="00E12336"/>
    <w:rsid w:val="00E139D2"/>
    <w:rsid w:val="00E158E8"/>
    <w:rsid w:val="00E16470"/>
    <w:rsid w:val="00E17636"/>
    <w:rsid w:val="00E220DE"/>
    <w:rsid w:val="00E2374D"/>
    <w:rsid w:val="00E26A11"/>
    <w:rsid w:val="00E26DAE"/>
    <w:rsid w:val="00E26E8C"/>
    <w:rsid w:val="00E276B5"/>
    <w:rsid w:val="00E307E8"/>
    <w:rsid w:val="00E31040"/>
    <w:rsid w:val="00E31CE8"/>
    <w:rsid w:val="00E32558"/>
    <w:rsid w:val="00E33A8E"/>
    <w:rsid w:val="00E35013"/>
    <w:rsid w:val="00E35501"/>
    <w:rsid w:val="00E37462"/>
    <w:rsid w:val="00E40756"/>
    <w:rsid w:val="00E40FBB"/>
    <w:rsid w:val="00E4100F"/>
    <w:rsid w:val="00E41294"/>
    <w:rsid w:val="00E44391"/>
    <w:rsid w:val="00E444EB"/>
    <w:rsid w:val="00E44589"/>
    <w:rsid w:val="00E461E2"/>
    <w:rsid w:val="00E4720E"/>
    <w:rsid w:val="00E47A33"/>
    <w:rsid w:val="00E52144"/>
    <w:rsid w:val="00E52292"/>
    <w:rsid w:val="00E539BC"/>
    <w:rsid w:val="00E54AE2"/>
    <w:rsid w:val="00E54BF0"/>
    <w:rsid w:val="00E55E28"/>
    <w:rsid w:val="00E57183"/>
    <w:rsid w:val="00E60689"/>
    <w:rsid w:val="00E606F8"/>
    <w:rsid w:val="00E60DE6"/>
    <w:rsid w:val="00E61C9A"/>
    <w:rsid w:val="00E61CAD"/>
    <w:rsid w:val="00E61E85"/>
    <w:rsid w:val="00E63695"/>
    <w:rsid w:val="00E63AE2"/>
    <w:rsid w:val="00E64076"/>
    <w:rsid w:val="00E6408F"/>
    <w:rsid w:val="00E64B94"/>
    <w:rsid w:val="00E65047"/>
    <w:rsid w:val="00E656B6"/>
    <w:rsid w:val="00E66590"/>
    <w:rsid w:val="00E67893"/>
    <w:rsid w:val="00E67DB7"/>
    <w:rsid w:val="00E725C1"/>
    <w:rsid w:val="00E72919"/>
    <w:rsid w:val="00E7482C"/>
    <w:rsid w:val="00E75C34"/>
    <w:rsid w:val="00E75F1C"/>
    <w:rsid w:val="00E82502"/>
    <w:rsid w:val="00E82994"/>
    <w:rsid w:val="00E843C7"/>
    <w:rsid w:val="00E8558F"/>
    <w:rsid w:val="00E860F9"/>
    <w:rsid w:val="00E8701B"/>
    <w:rsid w:val="00E927E2"/>
    <w:rsid w:val="00E92A08"/>
    <w:rsid w:val="00E92C38"/>
    <w:rsid w:val="00E9333B"/>
    <w:rsid w:val="00E966DF"/>
    <w:rsid w:val="00EA25BE"/>
    <w:rsid w:val="00EA2D0F"/>
    <w:rsid w:val="00EA30B5"/>
    <w:rsid w:val="00EA51D4"/>
    <w:rsid w:val="00EA7171"/>
    <w:rsid w:val="00EA7571"/>
    <w:rsid w:val="00EA7698"/>
    <w:rsid w:val="00EB00F1"/>
    <w:rsid w:val="00EB0F89"/>
    <w:rsid w:val="00EB1572"/>
    <w:rsid w:val="00EB278F"/>
    <w:rsid w:val="00EB2BBA"/>
    <w:rsid w:val="00EB3A89"/>
    <w:rsid w:val="00EB747F"/>
    <w:rsid w:val="00EB75D9"/>
    <w:rsid w:val="00EB7D65"/>
    <w:rsid w:val="00EC0725"/>
    <w:rsid w:val="00EC1AD9"/>
    <w:rsid w:val="00EC3F83"/>
    <w:rsid w:val="00EC5A35"/>
    <w:rsid w:val="00EC6776"/>
    <w:rsid w:val="00EC6B23"/>
    <w:rsid w:val="00EC7B4B"/>
    <w:rsid w:val="00EC7C89"/>
    <w:rsid w:val="00EC7C9E"/>
    <w:rsid w:val="00ED1120"/>
    <w:rsid w:val="00ED118F"/>
    <w:rsid w:val="00ED19B9"/>
    <w:rsid w:val="00ED1D1D"/>
    <w:rsid w:val="00ED4D5F"/>
    <w:rsid w:val="00ED52ED"/>
    <w:rsid w:val="00ED5711"/>
    <w:rsid w:val="00ED7BDF"/>
    <w:rsid w:val="00EE0B2B"/>
    <w:rsid w:val="00EE1235"/>
    <w:rsid w:val="00EE1255"/>
    <w:rsid w:val="00EE2D77"/>
    <w:rsid w:val="00EE3CCE"/>
    <w:rsid w:val="00EE6C22"/>
    <w:rsid w:val="00EF2A90"/>
    <w:rsid w:val="00EF2D5D"/>
    <w:rsid w:val="00EF34A3"/>
    <w:rsid w:val="00EF3881"/>
    <w:rsid w:val="00EF5DED"/>
    <w:rsid w:val="00EF6C8D"/>
    <w:rsid w:val="00F019DA"/>
    <w:rsid w:val="00F03920"/>
    <w:rsid w:val="00F06724"/>
    <w:rsid w:val="00F10885"/>
    <w:rsid w:val="00F12EFC"/>
    <w:rsid w:val="00F134F1"/>
    <w:rsid w:val="00F13A85"/>
    <w:rsid w:val="00F13C8A"/>
    <w:rsid w:val="00F14F77"/>
    <w:rsid w:val="00F17D69"/>
    <w:rsid w:val="00F20074"/>
    <w:rsid w:val="00F2021E"/>
    <w:rsid w:val="00F209F8"/>
    <w:rsid w:val="00F20C3C"/>
    <w:rsid w:val="00F21E33"/>
    <w:rsid w:val="00F22923"/>
    <w:rsid w:val="00F245A6"/>
    <w:rsid w:val="00F24A37"/>
    <w:rsid w:val="00F24D74"/>
    <w:rsid w:val="00F25366"/>
    <w:rsid w:val="00F30544"/>
    <w:rsid w:val="00F3085A"/>
    <w:rsid w:val="00F322F8"/>
    <w:rsid w:val="00F3234E"/>
    <w:rsid w:val="00F32CDE"/>
    <w:rsid w:val="00F3564B"/>
    <w:rsid w:val="00F35B5C"/>
    <w:rsid w:val="00F3606B"/>
    <w:rsid w:val="00F3618B"/>
    <w:rsid w:val="00F37570"/>
    <w:rsid w:val="00F43D8B"/>
    <w:rsid w:val="00F46099"/>
    <w:rsid w:val="00F50E3F"/>
    <w:rsid w:val="00F51B03"/>
    <w:rsid w:val="00F51C74"/>
    <w:rsid w:val="00F5227C"/>
    <w:rsid w:val="00F562B1"/>
    <w:rsid w:val="00F57A32"/>
    <w:rsid w:val="00F61836"/>
    <w:rsid w:val="00F620C7"/>
    <w:rsid w:val="00F62D17"/>
    <w:rsid w:val="00F65D14"/>
    <w:rsid w:val="00F65EC1"/>
    <w:rsid w:val="00F6619B"/>
    <w:rsid w:val="00F67997"/>
    <w:rsid w:val="00F70978"/>
    <w:rsid w:val="00F72254"/>
    <w:rsid w:val="00F73732"/>
    <w:rsid w:val="00F73B32"/>
    <w:rsid w:val="00F7508F"/>
    <w:rsid w:val="00F75B7D"/>
    <w:rsid w:val="00F761AE"/>
    <w:rsid w:val="00F76F5E"/>
    <w:rsid w:val="00F770C0"/>
    <w:rsid w:val="00F7710D"/>
    <w:rsid w:val="00F81B15"/>
    <w:rsid w:val="00F81B33"/>
    <w:rsid w:val="00F81FE2"/>
    <w:rsid w:val="00F82A8A"/>
    <w:rsid w:val="00F83100"/>
    <w:rsid w:val="00F85203"/>
    <w:rsid w:val="00F86547"/>
    <w:rsid w:val="00F865D9"/>
    <w:rsid w:val="00F9041B"/>
    <w:rsid w:val="00F91A20"/>
    <w:rsid w:val="00F9285C"/>
    <w:rsid w:val="00F93206"/>
    <w:rsid w:val="00F93A2A"/>
    <w:rsid w:val="00F948AE"/>
    <w:rsid w:val="00F954DA"/>
    <w:rsid w:val="00F978F9"/>
    <w:rsid w:val="00FA04E0"/>
    <w:rsid w:val="00FA0DF3"/>
    <w:rsid w:val="00FA1395"/>
    <w:rsid w:val="00FA185C"/>
    <w:rsid w:val="00FA1A88"/>
    <w:rsid w:val="00FA1B28"/>
    <w:rsid w:val="00FA42B2"/>
    <w:rsid w:val="00FA5AD0"/>
    <w:rsid w:val="00FA69BB"/>
    <w:rsid w:val="00FA73EB"/>
    <w:rsid w:val="00FA7982"/>
    <w:rsid w:val="00FB04F2"/>
    <w:rsid w:val="00FB0E18"/>
    <w:rsid w:val="00FB1DEC"/>
    <w:rsid w:val="00FB3313"/>
    <w:rsid w:val="00FB3AB9"/>
    <w:rsid w:val="00FB3BE5"/>
    <w:rsid w:val="00FB3F1F"/>
    <w:rsid w:val="00FB5D0A"/>
    <w:rsid w:val="00FC0DC8"/>
    <w:rsid w:val="00FC18CA"/>
    <w:rsid w:val="00FC251C"/>
    <w:rsid w:val="00FC3350"/>
    <w:rsid w:val="00FC344C"/>
    <w:rsid w:val="00FC461C"/>
    <w:rsid w:val="00FC4B4F"/>
    <w:rsid w:val="00FC55FF"/>
    <w:rsid w:val="00FC5614"/>
    <w:rsid w:val="00FC6075"/>
    <w:rsid w:val="00FC78D0"/>
    <w:rsid w:val="00FD0EF6"/>
    <w:rsid w:val="00FD4E6F"/>
    <w:rsid w:val="00FD78A3"/>
    <w:rsid w:val="00FE017E"/>
    <w:rsid w:val="00FE0A4A"/>
    <w:rsid w:val="00FE1C4D"/>
    <w:rsid w:val="00FE1FFE"/>
    <w:rsid w:val="00FE50B3"/>
    <w:rsid w:val="00FE662E"/>
    <w:rsid w:val="00FF0C2E"/>
    <w:rsid w:val="00FF2C38"/>
    <w:rsid w:val="00FF48D3"/>
    <w:rsid w:val="00FF50A4"/>
    <w:rsid w:val="00FF7665"/>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54C9F2"/>
  <w15:docId w15:val="{84185519-FF06-4C2C-8BD3-46B300B18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heme="minorBidi"/>
        <w:sz w:val="22"/>
        <w:szCs w:val="22"/>
        <w:lang w:val="fr-FR" w:eastAsia="en-US" w:bidi="ar-SA"/>
      </w:rPr>
    </w:rPrDefault>
    <w:pPrDefault>
      <w:pPr>
        <w:spacing w:after="200" w:line="276" w:lineRule="auto"/>
      </w:pPr>
    </w:pPrDefault>
  </w:docDefaults>
  <w:latentStyles w:defLockedState="0" w:defUIPriority="49" w:defSemiHidden="0" w:defUnhideWhenUsed="0" w:defQFormat="0" w:count="375">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99" w:unhideWhenUsed="1" w:qFormat="1"/>
    <w:lsdException w:name="annotation text" w:semiHidden="1" w:unhideWhenUsed="1"/>
    <w:lsdException w:name="header" w:semiHidden="1" w:uiPriority="19" w:unhideWhenUsed="1"/>
    <w:lsdException w:name="footer" w:semiHidden="1" w:uiPriority="1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39" w:unhideWhenUsed="1"/>
    <w:lsdException w:name="List" w:semiHidden="1" w:unhideWhenUsed="1"/>
    <w:lsdException w:name="List Bullet" w:semiHidden="1" w:uiPriority="4" w:unhideWhenUsed="1" w:qFormat="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iPriority="4"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lsdException w:name="Date" w:semiHidden="1" w:uiPriority="99" w:unhideWhenUsed="1"/>
    <w:lsdException w:name="Body Text First Indent" w:semiHidden="1"/>
    <w:lsdException w:name="Body Text First Indent 2" w:semiHidden="1" w:unhideWhenUsed="1"/>
    <w:lsdException w:name="Note Heading" w:semiHidden="1" w:uiPriority="29"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qFormat="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39"/>
    <w:lsdException w:name="Table Theme" w:semiHidden="1" w:uiPriority="99" w:unhideWhenUsed="1"/>
    <w:lsdException w:name="Placeholder Text" w:semiHidden="1"/>
    <w:lsdException w:name="No Spacing" w:semiHidden="1"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semiHidden="1" w:qFormat="1"/>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F7B51"/>
    <w:pPr>
      <w:spacing w:before="120" w:after="120" w:line="240" w:lineRule="auto"/>
      <w:ind w:firstLine="709"/>
      <w:jc w:val="both"/>
    </w:pPr>
    <w:rPr>
      <w:sz w:val="24"/>
    </w:rPr>
  </w:style>
  <w:style w:type="paragraph" w:styleId="Titre1">
    <w:name w:val="heading 1"/>
    <w:aliases w:val="Annexe"/>
    <w:basedOn w:val="Normal"/>
    <w:next w:val="Normal"/>
    <w:link w:val="Titre1Car"/>
    <w:uiPriority w:val="1"/>
    <w:qFormat/>
    <w:rsid w:val="007D377D"/>
    <w:pPr>
      <w:keepNext/>
      <w:keepLines/>
      <w:numPr>
        <w:numId w:val="4"/>
      </w:numPr>
      <w:suppressAutoHyphens/>
      <w:spacing w:before="1000" w:after="500"/>
      <w:jc w:val="left"/>
      <w:outlineLvl w:val="0"/>
    </w:pPr>
    <w:rPr>
      <w:rFonts w:eastAsiaTheme="majorEastAsia" w:cstheme="majorBidi"/>
      <w:b/>
      <w:bCs/>
      <w:sz w:val="30"/>
      <w:szCs w:val="28"/>
    </w:rPr>
  </w:style>
  <w:style w:type="paragraph" w:styleId="Titre2">
    <w:name w:val="heading 2"/>
    <w:basedOn w:val="Normal"/>
    <w:next w:val="Normal"/>
    <w:link w:val="Titre2Car"/>
    <w:uiPriority w:val="1"/>
    <w:qFormat/>
    <w:rsid w:val="009A2665"/>
    <w:pPr>
      <w:keepNext/>
      <w:keepLines/>
      <w:numPr>
        <w:ilvl w:val="1"/>
        <w:numId w:val="4"/>
      </w:numPr>
      <w:suppressAutoHyphens/>
      <w:spacing w:before="800" w:after="400"/>
      <w:jc w:val="left"/>
      <w:outlineLvl w:val="1"/>
    </w:pPr>
    <w:rPr>
      <w:rFonts w:eastAsiaTheme="majorEastAsia" w:cstheme="majorBidi"/>
      <w:b/>
      <w:bCs/>
      <w:sz w:val="28"/>
      <w:szCs w:val="26"/>
    </w:rPr>
  </w:style>
  <w:style w:type="paragraph" w:styleId="Titre3">
    <w:name w:val="heading 3"/>
    <w:basedOn w:val="Normal"/>
    <w:next w:val="Normal"/>
    <w:link w:val="Titre3Car"/>
    <w:uiPriority w:val="1"/>
    <w:qFormat/>
    <w:rsid w:val="009A2665"/>
    <w:pPr>
      <w:keepNext/>
      <w:keepLines/>
      <w:numPr>
        <w:ilvl w:val="2"/>
        <w:numId w:val="4"/>
      </w:numPr>
      <w:tabs>
        <w:tab w:val="left" w:pos="936"/>
      </w:tabs>
      <w:suppressAutoHyphens/>
      <w:spacing w:before="600" w:after="360"/>
      <w:jc w:val="left"/>
      <w:outlineLvl w:val="2"/>
    </w:pPr>
    <w:rPr>
      <w:rFonts w:eastAsiaTheme="majorEastAsia" w:cstheme="majorBidi"/>
      <w:b/>
      <w:bCs/>
      <w:sz w:val="25"/>
    </w:rPr>
  </w:style>
  <w:style w:type="paragraph" w:styleId="Titre4">
    <w:name w:val="heading 4"/>
    <w:basedOn w:val="Normal"/>
    <w:next w:val="Normal"/>
    <w:link w:val="Titre4Car"/>
    <w:uiPriority w:val="1"/>
    <w:qFormat/>
    <w:rsid w:val="009A2665"/>
    <w:pPr>
      <w:keepNext/>
      <w:keepLines/>
      <w:numPr>
        <w:ilvl w:val="3"/>
        <w:numId w:val="4"/>
      </w:numPr>
      <w:tabs>
        <w:tab w:val="left" w:pos="1106"/>
      </w:tabs>
      <w:suppressAutoHyphens/>
      <w:spacing w:before="600" w:after="360"/>
      <w:jc w:val="left"/>
      <w:outlineLvl w:val="3"/>
    </w:pPr>
    <w:rPr>
      <w:rFonts w:eastAsiaTheme="majorEastAsia" w:cstheme="majorBidi"/>
      <w:bCs/>
      <w:iCs/>
      <w:sz w:val="25"/>
      <w:u w:val="single"/>
    </w:rPr>
  </w:style>
  <w:style w:type="paragraph" w:styleId="Titre5">
    <w:name w:val="heading 5"/>
    <w:basedOn w:val="Normal"/>
    <w:next w:val="Normal"/>
    <w:link w:val="Titre5Car"/>
    <w:uiPriority w:val="1"/>
    <w:qFormat/>
    <w:rsid w:val="009A2665"/>
    <w:pPr>
      <w:keepNext/>
      <w:keepLines/>
      <w:numPr>
        <w:ilvl w:val="4"/>
        <w:numId w:val="4"/>
      </w:numPr>
      <w:suppressAutoHyphens/>
      <w:spacing w:before="480" w:after="300"/>
      <w:jc w:val="left"/>
      <w:outlineLvl w:val="4"/>
    </w:pPr>
    <w:rPr>
      <w:rFonts w:eastAsiaTheme="majorEastAsia" w:cstheme="majorBidi"/>
    </w:rPr>
  </w:style>
  <w:style w:type="paragraph" w:styleId="Titre6">
    <w:name w:val="heading 6"/>
    <w:basedOn w:val="Normal"/>
    <w:next w:val="Normal"/>
    <w:link w:val="Titre6Car"/>
    <w:uiPriority w:val="1"/>
    <w:semiHidden/>
    <w:qFormat/>
    <w:rsid w:val="009F4E51"/>
    <w:pPr>
      <w:keepNext/>
      <w:keepLines/>
      <w:numPr>
        <w:ilvl w:val="5"/>
        <w:numId w:val="4"/>
      </w:numPr>
      <w:spacing w:before="200"/>
      <w:outlineLvl w:val="5"/>
    </w:pPr>
    <w:rPr>
      <w:rFonts w:asciiTheme="majorHAnsi" w:eastAsiaTheme="majorEastAsia" w:hAnsiTheme="majorHAnsi" w:cstheme="majorBidi"/>
      <w:i/>
      <w:iCs/>
      <w:color w:val="7F1510" w:themeColor="accent1" w:themeShade="7F"/>
    </w:rPr>
  </w:style>
  <w:style w:type="paragraph" w:styleId="Titre7">
    <w:name w:val="heading 7"/>
    <w:basedOn w:val="Normal"/>
    <w:next w:val="Normal"/>
    <w:link w:val="Titre7Car"/>
    <w:uiPriority w:val="1"/>
    <w:semiHidden/>
    <w:qFormat/>
    <w:rsid w:val="009F4E51"/>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1"/>
    <w:semiHidden/>
    <w:qFormat/>
    <w:rsid w:val="009F4E51"/>
    <w:pPr>
      <w:keepNext/>
      <w:keepLines/>
      <w:numPr>
        <w:ilvl w:val="7"/>
        <w:numId w:val="4"/>
      </w:numPr>
      <w:spacing w:before="200"/>
      <w:outlineLvl w:val="7"/>
    </w:pPr>
    <w:rPr>
      <w:rFonts w:asciiTheme="majorHAnsi" w:eastAsiaTheme="majorEastAsia" w:hAnsiTheme="majorHAnsi" w:cstheme="majorBidi"/>
      <w:color w:val="404040" w:themeColor="text1" w:themeTint="BF"/>
      <w:szCs w:val="20"/>
    </w:rPr>
  </w:style>
  <w:style w:type="paragraph" w:styleId="Titre9">
    <w:name w:val="heading 9"/>
    <w:basedOn w:val="Normal"/>
    <w:next w:val="Normal"/>
    <w:link w:val="Titre9Car"/>
    <w:uiPriority w:val="1"/>
    <w:semiHidden/>
    <w:qFormat/>
    <w:rsid w:val="009F4E51"/>
    <w:pPr>
      <w:keepNext/>
      <w:keepLines/>
      <w:numPr>
        <w:ilvl w:val="8"/>
        <w:numId w:val="4"/>
      </w:numPr>
      <w:spacing w:before="200"/>
      <w:outlineLvl w:val="8"/>
    </w:pPr>
    <w:rPr>
      <w:rFonts w:asciiTheme="majorHAnsi" w:eastAsiaTheme="majorEastAsia" w:hAnsiTheme="majorHAnsi" w:cstheme="majorBidi"/>
      <w:i/>
      <w:iCs/>
      <w:color w:val="404040" w:themeColor="text1" w:themeTint="BF"/>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nnexes-Titre">
    <w:name w:val="Annexes - Titre"/>
    <w:basedOn w:val="Normal"/>
    <w:next w:val="Normal"/>
    <w:uiPriority w:val="99"/>
    <w:semiHidden/>
    <w:qFormat/>
    <w:rsid w:val="009F4E51"/>
    <w:pPr>
      <w:keepNext/>
      <w:pageBreakBefore/>
      <w:numPr>
        <w:numId w:val="1"/>
      </w:numPr>
      <w:tabs>
        <w:tab w:val="num" w:pos="360"/>
      </w:tabs>
      <w:suppressAutoHyphens/>
      <w:ind w:firstLine="709"/>
      <w:jc w:val="left"/>
    </w:pPr>
    <w:rPr>
      <w:rFonts w:asciiTheme="majorHAnsi" w:hAnsiTheme="majorHAnsi"/>
    </w:rPr>
  </w:style>
  <w:style w:type="paragraph" w:customStyle="1" w:styleId="Annoncesautdesection">
    <w:name w:val="Annonce saut de section"/>
    <w:basedOn w:val="Normal"/>
    <w:next w:val="Normal"/>
    <w:uiPriority w:val="99"/>
    <w:semiHidden/>
    <w:rsid w:val="009F4E51"/>
    <w:pPr>
      <w:suppressAutoHyphens/>
      <w:spacing w:line="160" w:lineRule="exact"/>
      <w:jc w:val="left"/>
    </w:pPr>
    <w:rPr>
      <w:sz w:val="16"/>
    </w:rPr>
  </w:style>
  <w:style w:type="character" w:styleId="Appelnotedebasdep">
    <w:name w:val="footnote reference"/>
    <w:aliases w:val="titre, titre,Footnote Reference Number,Footnote Reference_LVL6,Footnote Reference_LVL61,Footnote Reference_LVL62,Footnote Reference_LVL63,Footnote Reference_LVL64,(Footnote Reference),Footnote symbol,Footnote reference number"/>
    <w:basedOn w:val="Policepardfaut"/>
    <w:link w:val="BVIfnrCarCarCarCarCar"/>
    <w:uiPriority w:val="99"/>
    <w:qFormat/>
    <w:rsid w:val="009F4E51"/>
    <w:rPr>
      <w:vertAlign w:val="superscript"/>
    </w:rPr>
  </w:style>
  <w:style w:type="paragraph" w:customStyle="1" w:styleId="Entte-Rouge">
    <w:name w:val="Entête - Rouge"/>
    <w:basedOn w:val="En-tte"/>
    <w:uiPriority w:val="19"/>
    <w:semiHidden/>
    <w:qFormat/>
    <w:rsid w:val="00ED19B9"/>
    <w:rPr>
      <w:rFonts w:ascii="Times New Roman" w:hAnsi="Times New Roman"/>
      <w:i/>
      <w:iCs/>
      <w:caps w:val="0"/>
      <w:color w:val="BE1818"/>
    </w:rPr>
  </w:style>
  <w:style w:type="paragraph" w:styleId="Date">
    <w:name w:val="Date"/>
    <w:basedOn w:val="Normal"/>
    <w:next w:val="Normal"/>
    <w:link w:val="DateCar"/>
    <w:uiPriority w:val="99"/>
    <w:semiHidden/>
    <w:rsid w:val="009F4E51"/>
    <w:pPr>
      <w:suppressAutoHyphens/>
    </w:pPr>
  </w:style>
  <w:style w:type="character" w:customStyle="1" w:styleId="DateCar">
    <w:name w:val="Date Car"/>
    <w:basedOn w:val="Policepardfaut"/>
    <w:link w:val="Date"/>
    <w:uiPriority w:val="99"/>
    <w:semiHidden/>
    <w:rsid w:val="00330600"/>
  </w:style>
  <w:style w:type="character" w:styleId="lev">
    <w:name w:val="Strong"/>
    <w:basedOn w:val="Policepardfaut"/>
    <w:uiPriority w:val="49"/>
    <w:semiHidden/>
    <w:rsid w:val="009F4E51"/>
    <w:rPr>
      <w:b/>
      <w:bCs/>
    </w:rPr>
  </w:style>
  <w:style w:type="paragraph" w:customStyle="1" w:styleId="SECTION">
    <w:name w:val="SECTION"/>
    <w:basedOn w:val="Normal"/>
    <w:uiPriority w:val="19"/>
    <w:semiHidden/>
    <w:qFormat/>
    <w:rsid w:val="00C40B52"/>
    <w:pPr>
      <w:ind w:firstLine="0"/>
      <w:jc w:val="left"/>
    </w:pPr>
    <w:rPr>
      <w:rFonts w:ascii="Arial" w:hAnsi="Arial" w:cs="Arial"/>
      <w:sz w:val="20"/>
      <w:szCs w:val="24"/>
      <w:lang w:eastAsia="fr-FR"/>
    </w:rPr>
  </w:style>
  <w:style w:type="paragraph" w:styleId="En-tte">
    <w:name w:val="header"/>
    <w:basedOn w:val="Normal"/>
    <w:link w:val="En-tteCar"/>
    <w:uiPriority w:val="19"/>
    <w:semiHidden/>
    <w:rsid w:val="00B60E29"/>
    <w:pPr>
      <w:suppressAutoHyphens/>
      <w:spacing w:before="0" w:after="40"/>
      <w:ind w:firstLine="0"/>
      <w:jc w:val="right"/>
    </w:pPr>
    <w:rPr>
      <w:rFonts w:asciiTheme="majorHAnsi" w:hAnsiTheme="majorHAnsi"/>
      <w:caps/>
      <w:sz w:val="21"/>
    </w:rPr>
  </w:style>
  <w:style w:type="character" w:customStyle="1" w:styleId="En-tteCar">
    <w:name w:val="En-tête Car"/>
    <w:basedOn w:val="Policepardfaut"/>
    <w:link w:val="En-tte"/>
    <w:uiPriority w:val="19"/>
    <w:semiHidden/>
    <w:rsid w:val="00B60E29"/>
    <w:rPr>
      <w:rFonts w:asciiTheme="majorHAnsi" w:hAnsiTheme="majorHAnsi"/>
      <w:caps/>
      <w:sz w:val="21"/>
    </w:rPr>
  </w:style>
  <w:style w:type="paragraph" w:customStyle="1" w:styleId="Espace2pt">
    <w:name w:val="Espace 2 pt"/>
    <w:basedOn w:val="Normal"/>
    <w:next w:val="Normal"/>
    <w:uiPriority w:val="29"/>
    <w:semiHidden/>
    <w:rsid w:val="009F4E51"/>
    <w:pPr>
      <w:suppressAutoHyphens/>
      <w:spacing w:line="40" w:lineRule="exact"/>
    </w:pPr>
    <w:rPr>
      <w:sz w:val="4"/>
    </w:rPr>
  </w:style>
  <w:style w:type="paragraph" w:customStyle="1" w:styleId="Espace4pt">
    <w:name w:val="Espace 4 pt"/>
    <w:basedOn w:val="Normal"/>
    <w:next w:val="Normal"/>
    <w:uiPriority w:val="29"/>
    <w:semiHidden/>
    <w:rsid w:val="009F4E51"/>
    <w:pPr>
      <w:suppressAutoHyphens/>
      <w:spacing w:line="80" w:lineRule="exact"/>
      <w:jc w:val="left"/>
    </w:pPr>
    <w:rPr>
      <w:sz w:val="8"/>
    </w:rPr>
  </w:style>
  <w:style w:type="paragraph" w:customStyle="1" w:styleId="Espace100pt">
    <w:name w:val="Espace 100 pt"/>
    <w:basedOn w:val="Normal"/>
    <w:next w:val="Normal"/>
    <w:uiPriority w:val="29"/>
    <w:semiHidden/>
    <w:rsid w:val="007C0859"/>
    <w:pPr>
      <w:suppressAutoHyphens/>
      <w:spacing w:before="0" w:after="2000"/>
      <w:jc w:val="left"/>
    </w:pPr>
  </w:style>
  <w:style w:type="paragraph" w:customStyle="1" w:styleId="CHAMBRE">
    <w:name w:val="CHAMBRE"/>
    <w:basedOn w:val="Normal"/>
    <w:uiPriority w:val="19"/>
    <w:semiHidden/>
    <w:qFormat/>
    <w:rsid w:val="00C40B52"/>
    <w:pPr>
      <w:ind w:firstLine="0"/>
    </w:pPr>
    <w:rPr>
      <w:rFonts w:ascii="Arial" w:hAnsi="Arial" w:cs="Arial"/>
      <w:szCs w:val="24"/>
      <w:lang w:eastAsia="fr-FR"/>
    </w:rPr>
  </w:style>
  <w:style w:type="table" w:styleId="Grilledutableau">
    <w:name w:val="Table Grid"/>
    <w:aliases w:val="TABLEAU RIOP"/>
    <w:basedOn w:val="TableauNormal"/>
    <w:uiPriority w:val="39"/>
    <w:rsid w:val="007728BE"/>
    <w:pPr>
      <w:spacing w:after="0" w:line="240" w:lineRule="auto"/>
    </w:pPr>
    <w:tblPr>
      <w:tblStyleRowBandSize w:val="1"/>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tblStylePr w:type="firstRow">
      <w:pPr>
        <w:keepNext/>
        <w:wordWrap/>
      </w:pPr>
      <w:rPr>
        <w:b/>
        <w:color w:val="FFFFFF" w:themeColor="background2"/>
      </w:rPr>
      <w:tblPr/>
      <w:trPr>
        <w:tblHeader/>
      </w:tr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clear" w:color="auto" w:fill="2F7F85" w:themeFill="accent4"/>
      </w:tcPr>
    </w:tblStylePr>
    <w:tblStylePr w:type="lastRow">
      <w:rPr>
        <w:b/>
      </w:rPr>
      <w:tblPr/>
      <w:tcPr>
        <w:tcBorders>
          <w:top w:val="single" w:sz="12" w:space="0" w:color="auto"/>
          <w:left w:val="single" w:sz="4" w:space="0" w:color="auto"/>
          <w:bottom w:val="single" w:sz="12" w:space="0" w:color="auto"/>
          <w:right w:val="single" w:sz="4" w:space="0" w:color="auto"/>
          <w:insideH w:val="nil"/>
          <w:insideV w:val="single" w:sz="4" w:space="0" w:color="auto"/>
          <w:tl2br w:val="nil"/>
          <w:tr2bl w:val="nil"/>
        </w:tcBorders>
      </w:tcPr>
    </w:tblStylePr>
    <w:tblStylePr w:type="firstCol">
      <w:rPr>
        <w:i/>
      </w:rPr>
    </w:tblStylePr>
    <w:tblStylePr w:type="band1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F2F2F2" w:themeFill="background2" w:themeFillShade="F2"/>
      </w:tcPr>
    </w:tblStylePr>
  </w:style>
  <w:style w:type="paragraph" w:styleId="Index1">
    <w:name w:val="index 1"/>
    <w:basedOn w:val="Normal"/>
    <w:next w:val="Normal"/>
    <w:uiPriority w:val="49"/>
    <w:semiHidden/>
    <w:rsid w:val="009F4E51"/>
    <w:pPr>
      <w:ind w:left="210" w:hanging="210"/>
      <w:jc w:val="left"/>
    </w:pPr>
    <w:rPr>
      <w:rFonts w:eastAsiaTheme="minorHAnsi" w:cstheme="minorHAnsi"/>
      <w:sz w:val="18"/>
      <w:szCs w:val="18"/>
    </w:rPr>
  </w:style>
  <w:style w:type="paragraph" w:styleId="Index2">
    <w:name w:val="index 2"/>
    <w:basedOn w:val="Normal"/>
    <w:next w:val="Normal"/>
    <w:uiPriority w:val="49"/>
    <w:semiHidden/>
    <w:rsid w:val="009F4E51"/>
    <w:pPr>
      <w:ind w:left="420" w:hanging="210"/>
      <w:jc w:val="left"/>
    </w:pPr>
    <w:rPr>
      <w:rFonts w:eastAsiaTheme="minorHAnsi" w:cstheme="minorHAnsi"/>
      <w:sz w:val="18"/>
      <w:szCs w:val="18"/>
    </w:rPr>
  </w:style>
  <w:style w:type="paragraph" w:styleId="Index3">
    <w:name w:val="index 3"/>
    <w:basedOn w:val="Normal"/>
    <w:next w:val="Normal"/>
    <w:uiPriority w:val="49"/>
    <w:semiHidden/>
    <w:rsid w:val="009F4E51"/>
    <w:pPr>
      <w:ind w:left="630" w:hanging="210"/>
      <w:jc w:val="left"/>
    </w:pPr>
    <w:rPr>
      <w:rFonts w:eastAsiaTheme="minorHAnsi" w:cstheme="minorHAnsi"/>
      <w:sz w:val="18"/>
      <w:szCs w:val="18"/>
    </w:rPr>
  </w:style>
  <w:style w:type="paragraph" w:styleId="Index4">
    <w:name w:val="index 4"/>
    <w:basedOn w:val="Normal"/>
    <w:next w:val="Normal"/>
    <w:uiPriority w:val="49"/>
    <w:semiHidden/>
    <w:rsid w:val="009F4E51"/>
    <w:pPr>
      <w:ind w:left="840" w:hanging="210"/>
      <w:jc w:val="left"/>
    </w:pPr>
    <w:rPr>
      <w:rFonts w:eastAsiaTheme="minorHAnsi" w:cstheme="minorHAnsi"/>
      <w:sz w:val="18"/>
      <w:szCs w:val="18"/>
    </w:rPr>
  </w:style>
  <w:style w:type="paragraph" w:styleId="Index5">
    <w:name w:val="index 5"/>
    <w:basedOn w:val="Normal"/>
    <w:next w:val="Normal"/>
    <w:uiPriority w:val="49"/>
    <w:semiHidden/>
    <w:rsid w:val="009F4E51"/>
    <w:pPr>
      <w:ind w:left="1050" w:hanging="210"/>
      <w:jc w:val="left"/>
    </w:pPr>
    <w:rPr>
      <w:rFonts w:eastAsiaTheme="minorHAnsi" w:cstheme="minorHAnsi"/>
      <w:sz w:val="18"/>
      <w:szCs w:val="18"/>
    </w:rPr>
  </w:style>
  <w:style w:type="paragraph" w:styleId="Index6">
    <w:name w:val="index 6"/>
    <w:basedOn w:val="Normal"/>
    <w:next w:val="Normal"/>
    <w:uiPriority w:val="49"/>
    <w:semiHidden/>
    <w:rsid w:val="009F4E51"/>
    <w:pPr>
      <w:ind w:left="1260" w:hanging="210"/>
      <w:jc w:val="left"/>
    </w:pPr>
    <w:rPr>
      <w:rFonts w:eastAsiaTheme="minorHAnsi" w:cstheme="minorHAnsi"/>
      <w:sz w:val="18"/>
      <w:szCs w:val="18"/>
    </w:rPr>
  </w:style>
  <w:style w:type="paragraph" w:styleId="Index7">
    <w:name w:val="index 7"/>
    <w:basedOn w:val="Normal"/>
    <w:next w:val="Normal"/>
    <w:uiPriority w:val="49"/>
    <w:semiHidden/>
    <w:rsid w:val="009F4E51"/>
    <w:pPr>
      <w:ind w:left="1470" w:hanging="210"/>
      <w:jc w:val="left"/>
    </w:pPr>
    <w:rPr>
      <w:rFonts w:eastAsiaTheme="minorHAnsi" w:cstheme="minorHAnsi"/>
      <w:sz w:val="18"/>
      <w:szCs w:val="18"/>
    </w:rPr>
  </w:style>
  <w:style w:type="paragraph" w:styleId="Index8">
    <w:name w:val="index 8"/>
    <w:basedOn w:val="Normal"/>
    <w:next w:val="Normal"/>
    <w:uiPriority w:val="49"/>
    <w:semiHidden/>
    <w:rsid w:val="009F4E51"/>
    <w:pPr>
      <w:ind w:left="1680" w:hanging="210"/>
      <w:jc w:val="left"/>
    </w:pPr>
    <w:rPr>
      <w:rFonts w:eastAsiaTheme="minorHAnsi" w:cstheme="minorHAnsi"/>
      <w:sz w:val="18"/>
      <w:szCs w:val="18"/>
    </w:rPr>
  </w:style>
  <w:style w:type="paragraph" w:styleId="Index9">
    <w:name w:val="index 9"/>
    <w:basedOn w:val="Normal"/>
    <w:next w:val="Normal"/>
    <w:uiPriority w:val="49"/>
    <w:semiHidden/>
    <w:rsid w:val="009F4E51"/>
    <w:pPr>
      <w:ind w:left="1890" w:hanging="210"/>
      <w:jc w:val="left"/>
    </w:pPr>
    <w:rPr>
      <w:rFonts w:eastAsiaTheme="minorHAnsi" w:cstheme="minorHAnsi"/>
      <w:sz w:val="18"/>
      <w:szCs w:val="18"/>
    </w:rPr>
  </w:style>
  <w:style w:type="paragraph" w:styleId="Lgende">
    <w:name w:val="caption"/>
    <w:basedOn w:val="Normal"/>
    <w:next w:val="Normal"/>
    <w:uiPriority w:val="49"/>
    <w:semiHidden/>
    <w:qFormat/>
    <w:rsid w:val="009F4E51"/>
    <w:pPr>
      <w:keepNext/>
      <w:suppressAutoHyphens/>
      <w:spacing w:before="240"/>
      <w:jc w:val="left"/>
    </w:pPr>
    <w:rPr>
      <w:b/>
      <w:bCs/>
      <w:sz w:val="18"/>
      <w:szCs w:val="18"/>
    </w:rPr>
  </w:style>
  <w:style w:type="character" w:styleId="Lienhypertexte">
    <w:name w:val="Hyperlink"/>
    <w:basedOn w:val="Policepardfaut"/>
    <w:uiPriority w:val="99"/>
    <w:rsid w:val="004D3AB4"/>
    <w:rPr>
      <w:color w:val="5692CE"/>
      <w:u w:val="single"/>
    </w:rPr>
  </w:style>
  <w:style w:type="character" w:styleId="Lienhypertextesuivivisit">
    <w:name w:val="FollowedHyperlink"/>
    <w:basedOn w:val="Policepardfaut"/>
    <w:uiPriority w:val="49"/>
    <w:semiHidden/>
    <w:qFormat/>
    <w:rsid w:val="004D3AB4"/>
    <w:rPr>
      <w:color w:val="5692CE"/>
      <w:u w:val="single"/>
    </w:rPr>
  </w:style>
  <w:style w:type="paragraph" w:styleId="Listepuces">
    <w:name w:val="List Bullet"/>
    <w:basedOn w:val="Normal"/>
    <w:uiPriority w:val="4"/>
    <w:qFormat/>
    <w:rsid w:val="004C2717"/>
    <w:pPr>
      <w:numPr>
        <w:numId w:val="2"/>
      </w:numPr>
      <w:spacing w:before="80" w:after="80"/>
    </w:pPr>
  </w:style>
  <w:style w:type="paragraph" w:styleId="Listepuces2">
    <w:name w:val="List Bullet 2"/>
    <w:basedOn w:val="Normal"/>
    <w:uiPriority w:val="4"/>
    <w:qFormat/>
    <w:rsid w:val="004C2717"/>
    <w:pPr>
      <w:numPr>
        <w:ilvl w:val="1"/>
        <w:numId w:val="2"/>
      </w:numPr>
      <w:spacing w:before="60" w:after="60"/>
    </w:pPr>
  </w:style>
  <w:style w:type="paragraph" w:styleId="Listepuces3">
    <w:name w:val="List Bullet 3"/>
    <w:basedOn w:val="Normal"/>
    <w:uiPriority w:val="49"/>
    <w:semiHidden/>
    <w:qFormat/>
    <w:rsid w:val="009F4E51"/>
    <w:pPr>
      <w:numPr>
        <w:ilvl w:val="2"/>
        <w:numId w:val="2"/>
      </w:numPr>
      <w:spacing w:before="40" w:after="40"/>
      <w:contextualSpacing/>
    </w:pPr>
  </w:style>
  <w:style w:type="paragraph" w:customStyle="1" w:styleId="Listenumrote">
    <w:name w:val="Liste numérotée"/>
    <w:basedOn w:val="Normal"/>
    <w:uiPriority w:val="4"/>
    <w:qFormat/>
    <w:rsid w:val="009F4E51"/>
    <w:pPr>
      <w:numPr>
        <w:numId w:val="3"/>
      </w:numPr>
    </w:pPr>
  </w:style>
  <w:style w:type="paragraph" w:customStyle="1" w:styleId="Miseenvaleurtexte">
    <w:name w:val="Mise en valeur texte"/>
    <w:basedOn w:val="Normal"/>
    <w:next w:val="Normal"/>
    <w:uiPriority w:val="29"/>
    <w:semiHidden/>
    <w:qFormat/>
    <w:rsid w:val="009F4E51"/>
    <w:pPr>
      <w:pBdr>
        <w:top w:val="single" w:sz="2" w:space="1" w:color="FFFFFF" w:themeColor="background1"/>
        <w:left w:val="single" w:sz="18" w:space="4" w:color="auto"/>
        <w:bottom w:val="single" w:sz="2" w:space="1" w:color="FFFFFF" w:themeColor="background1"/>
      </w:pBdr>
      <w:spacing w:before="240" w:after="240"/>
      <w:ind w:left="170"/>
      <w:contextualSpacing/>
      <w:jc w:val="left"/>
    </w:pPr>
    <w:rPr>
      <w:rFonts w:eastAsia="SimSun"/>
      <w:b/>
    </w:rPr>
  </w:style>
  <w:style w:type="paragraph" w:customStyle="1" w:styleId="Normalgauche">
    <w:name w:val="Normal (gauche)"/>
    <w:basedOn w:val="Normal"/>
    <w:uiPriority w:val="29"/>
    <w:semiHidden/>
    <w:qFormat/>
    <w:rsid w:val="009F4E51"/>
    <w:pPr>
      <w:suppressAutoHyphens/>
    </w:pPr>
    <w:rPr>
      <w:rFonts w:cs="Times New Roman"/>
      <w:sz w:val="18"/>
    </w:rPr>
  </w:style>
  <w:style w:type="paragraph" w:customStyle="1" w:styleId="Normaltableaux">
    <w:name w:val="Normal (tableaux)"/>
    <w:basedOn w:val="Normal"/>
    <w:qFormat/>
    <w:rsid w:val="00836C54"/>
    <w:pPr>
      <w:suppressAutoHyphens/>
      <w:spacing w:before="60" w:after="60"/>
      <w:ind w:firstLine="0"/>
      <w:jc w:val="left"/>
    </w:pPr>
  </w:style>
  <w:style w:type="paragraph" w:customStyle="1" w:styleId="Normal18ptavant">
    <w:name w:val="Normal + 18 pt avant"/>
    <w:basedOn w:val="Normal"/>
    <w:next w:val="Normal"/>
    <w:uiPriority w:val="29"/>
    <w:semiHidden/>
    <w:qFormat/>
    <w:rsid w:val="009F4E51"/>
    <w:pPr>
      <w:spacing w:before="360" w:after="140" w:line="280" w:lineRule="atLeast"/>
    </w:pPr>
    <w:rPr>
      <w:rFonts w:eastAsia="Batang" w:cs="Times New Roman"/>
      <w:sz w:val="23"/>
    </w:rPr>
  </w:style>
  <w:style w:type="paragraph" w:styleId="Normalcentr">
    <w:name w:val="Block Text"/>
    <w:basedOn w:val="Normal"/>
    <w:uiPriority w:val="49"/>
    <w:semiHidden/>
    <w:rsid w:val="009F4E51"/>
    <w:pPr>
      <w:pBdr>
        <w:top w:val="single" w:sz="2" w:space="10" w:color="E6443C" w:themeColor="accent1"/>
        <w:left w:val="single" w:sz="2" w:space="10" w:color="E6443C" w:themeColor="accent1"/>
        <w:bottom w:val="single" w:sz="2" w:space="10" w:color="E6443C" w:themeColor="accent1"/>
        <w:right w:val="single" w:sz="2" w:space="10" w:color="E6443C" w:themeColor="accent1"/>
      </w:pBdr>
      <w:ind w:left="1152" w:right="1152"/>
    </w:pPr>
    <w:rPr>
      <w:rFonts w:eastAsiaTheme="minorEastAsia"/>
      <w:i/>
      <w:iCs/>
      <w:color w:val="E6443C" w:themeColor="accent1"/>
    </w:rPr>
  </w:style>
  <w:style w:type="paragraph" w:customStyle="1" w:styleId="Normalgauche0">
    <w:name w:val="Normal gauche"/>
    <w:basedOn w:val="Normalcentr"/>
    <w:uiPriority w:val="29"/>
    <w:semiHidden/>
    <w:qFormat/>
    <w:rsid w:val="009F4E51"/>
    <w:pPr>
      <w:pBdr>
        <w:top w:val="none" w:sz="0" w:space="0" w:color="auto"/>
        <w:left w:val="none" w:sz="0" w:space="0" w:color="auto"/>
        <w:bottom w:val="none" w:sz="0" w:space="0" w:color="auto"/>
        <w:right w:val="none" w:sz="0" w:space="0" w:color="auto"/>
      </w:pBdr>
      <w:suppressAutoHyphens/>
      <w:ind w:left="0" w:right="0"/>
    </w:pPr>
    <w:rPr>
      <w:rFonts w:eastAsia="Times New Roman" w:cs="Times New Roman"/>
      <w:i w:val="0"/>
      <w:iCs w:val="0"/>
      <w:color w:val="auto"/>
      <w:sz w:val="18"/>
    </w:rPr>
  </w:style>
  <w:style w:type="paragraph" w:styleId="Notedebasdepage">
    <w:name w:val="footnote text"/>
    <w:aliases w:val="Note de bas de page Car2 Car,Note de bas de page Car1 Car Car,Note de bas de page Car Car Car Car,Note de bas de page Car1 Car Car Car Car,Note de bas de page Car Car Car Car Car Car,Note de bas de page Car2,Reference Car,Reference"/>
    <w:basedOn w:val="Normal"/>
    <w:link w:val="NotedebasdepageCar"/>
    <w:uiPriority w:val="99"/>
    <w:qFormat/>
    <w:rsid w:val="00AD1F20"/>
    <w:pPr>
      <w:spacing w:before="0" w:after="0"/>
      <w:ind w:firstLine="0"/>
    </w:pPr>
    <w:rPr>
      <w:sz w:val="20"/>
      <w:szCs w:val="20"/>
    </w:rPr>
  </w:style>
  <w:style w:type="character" w:customStyle="1" w:styleId="NotedebasdepageCar">
    <w:name w:val="Note de bas de page Car"/>
    <w:aliases w:val="Note de bas de page Car2 Car Car,Note de bas de page Car1 Car Car Car,Note de bas de page Car Car Car Car Car,Note de bas de page Car1 Car Car Car Car Car,Note de bas de page Car Car Car Car Car Car Car,Reference Car Car"/>
    <w:basedOn w:val="Policepardfaut"/>
    <w:link w:val="Notedebasdepage"/>
    <w:uiPriority w:val="49"/>
    <w:qFormat/>
    <w:rsid w:val="00AD1F20"/>
    <w:rPr>
      <w:sz w:val="20"/>
      <w:szCs w:val="20"/>
    </w:rPr>
  </w:style>
  <w:style w:type="paragraph" w:styleId="Pieddepage">
    <w:name w:val="footer"/>
    <w:basedOn w:val="Normal"/>
    <w:link w:val="PieddepageCar"/>
    <w:uiPriority w:val="19"/>
    <w:semiHidden/>
    <w:rsid w:val="007B0C05"/>
    <w:pPr>
      <w:tabs>
        <w:tab w:val="center" w:pos="4536"/>
        <w:tab w:val="right" w:pos="9072"/>
      </w:tabs>
      <w:suppressAutoHyphens/>
      <w:spacing w:before="0" w:after="0"/>
      <w:jc w:val="center"/>
    </w:pPr>
    <w:rPr>
      <w:sz w:val="18"/>
    </w:rPr>
  </w:style>
  <w:style w:type="character" w:customStyle="1" w:styleId="PieddepageCar">
    <w:name w:val="Pied de page Car"/>
    <w:basedOn w:val="Policepardfaut"/>
    <w:link w:val="Pieddepage"/>
    <w:uiPriority w:val="19"/>
    <w:semiHidden/>
    <w:rsid w:val="007B0C05"/>
    <w:rPr>
      <w:sz w:val="18"/>
    </w:rPr>
  </w:style>
  <w:style w:type="paragraph" w:customStyle="1" w:styleId="Commentairestyle">
    <w:name w:val="Commentaire (style)"/>
    <w:basedOn w:val="Normal"/>
    <w:next w:val="Normal"/>
    <w:uiPriority w:val="15"/>
    <w:qFormat/>
    <w:rsid w:val="00FD78A3"/>
    <w:pPr>
      <w:numPr>
        <w:numId w:val="26"/>
      </w:numPr>
      <w:pBdr>
        <w:top w:val="single" w:sz="4" w:space="3" w:color="C00000"/>
        <w:left w:val="single" w:sz="4" w:space="4" w:color="C00000"/>
        <w:bottom w:val="single" w:sz="4" w:space="3" w:color="C00000"/>
        <w:right w:val="single" w:sz="4" w:space="4" w:color="C00000"/>
      </w:pBdr>
      <w:spacing w:before="240" w:after="240"/>
      <w:ind w:right="85"/>
    </w:pPr>
    <w:rPr>
      <w:rFonts w:cs="Times New Roman"/>
      <w:i/>
      <w:iCs/>
      <w:color w:val="C00000"/>
      <w:szCs w:val="24"/>
      <w:lang w:eastAsia="fr-FR"/>
    </w:rPr>
  </w:style>
  <w:style w:type="paragraph" w:customStyle="1" w:styleId="Sourcenote">
    <w:name w:val="Source/note"/>
    <w:basedOn w:val="Normal"/>
    <w:next w:val="Normal"/>
    <w:uiPriority w:val="10"/>
    <w:rsid w:val="006B73DD"/>
    <w:pPr>
      <w:spacing w:after="440"/>
      <w:ind w:firstLine="0"/>
      <w:contextualSpacing/>
    </w:pPr>
    <w:rPr>
      <w:i/>
      <w:sz w:val="20"/>
    </w:rPr>
  </w:style>
  <w:style w:type="paragraph" w:styleId="Sous-titre">
    <w:name w:val="Subtitle"/>
    <w:basedOn w:val="Normal"/>
    <w:next w:val="Normal"/>
    <w:link w:val="Sous-titreCar"/>
    <w:uiPriority w:val="49"/>
    <w:semiHidden/>
    <w:qFormat/>
    <w:rsid w:val="009F4E51"/>
    <w:pPr>
      <w:numPr>
        <w:ilvl w:val="1"/>
      </w:numPr>
      <w:suppressAutoHyphens/>
      <w:ind w:firstLine="709"/>
      <w:jc w:val="left"/>
    </w:pPr>
    <w:rPr>
      <w:rFonts w:asciiTheme="majorHAnsi" w:eastAsiaTheme="majorEastAsia" w:hAnsiTheme="majorHAnsi" w:cstheme="majorBidi"/>
      <w:iCs/>
    </w:rPr>
  </w:style>
  <w:style w:type="character" w:customStyle="1" w:styleId="Sous-titreCar">
    <w:name w:val="Sous-titre Car"/>
    <w:basedOn w:val="Policepardfaut"/>
    <w:link w:val="Sous-titre"/>
    <w:uiPriority w:val="49"/>
    <w:semiHidden/>
    <w:rsid w:val="00330600"/>
    <w:rPr>
      <w:rFonts w:asciiTheme="majorHAnsi" w:eastAsiaTheme="majorEastAsia" w:hAnsiTheme="majorHAnsi" w:cstheme="majorBidi"/>
      <w:iCs/>
    </w:rPr>
  </w:style>
  <w:style w:type="paragraph" w:styleId="Titre">
    <w:name w:val="Title"/>
    <w:basedOn w:val="Normal"/>
    <w:next w:val="Normal"/>
    <w:link w:val="TitreCar"/>
    <w:uiPriority w:val="49"/>
    <w:semiHidden/>
    <w:qFormat/>
    <w:rsid w:val="009F4E51"/>
    <w:pPr>
      <w:suppressAutoHyphens/>
      <w:contextualSpacing/>
      <w:jc w:val="left"/>
    </w:pPr>
    <w:rPr>
      <w:rFonts w:asciiTheme="majorHAnsi" w:eastAsiaTheme="majorEastAsia" w:hAnsiTheme="majorHAnsi" w:cstheme="majorBidi"/>
      <w:color w:val="E6443C" w:themeColor="accent1"/>
      <w:kern w:val="28"/>
      <w:sz w:val="52"/>
      <w:szCs w:val="52"/>
    </w:rPr>
  </w:style>
  <w:style w:type="character" w:customStyle="1" w:styleId="TitreCar">
    <w:name w:val="Titre Car"/>
    <w:basedOn w:val="Policepardfaut"/>
    <w:link w:val="Titre"/>
    <w:uiPriority w:val="49"/>
    <w:semiHidden/>
    <w:rsid w:val="00330600"/>
    <w:rPr>
      <w:rFonts w:asciiTheme="majorHAnsi" w:eastAsiaTheme="majorEastAsia" w:hAnsiTheme="majorHAnsi" w:cstheme="majorBidi"/>
      <w:color w:val="E6443C" w:themeColor="accent1"/>
      <w:kern w:val="28"/>
      <w:sz w:val="52"/>
      <w:szCs w:val="52"/>
    </w:rPr>
  </w:style>
  <w:style w:type="character" w:customStyle="1" w:styleId="Titre1Car">
    <w:name w:val="Titre 1 Car"/>
    <w:aliases w:val="Annexe Car"/>
    <w:basedOn w:val="Policepardfaut"/>
    <w:link w:val="Titre1"/>
    <w:uiPriority w:val="1"/>
    <w:rsid w:val="006130ED"/>
    <w:rPr>
      <w:rFonts w:eastAsiaTheme="majorEastAsia" w:cstheme="majorBidi"/>
      <w:b/>
      <w:bCs/>
      <w:sz w:val="30"/>
      <w:szCs w:val="28"/>
    </w:rPr>
  </w:style>
  <w:style w:type="character" w:customStyle="1" w:styleId="Titre2Car">
    <w:name w:val="Titre 2 Car"/>
    <w:basedOn w:val="Policepardfaut"/>
    <w:link w:val="Titre2"/>
    <w:uiPriority w:val="1"/>
    <w:rsid w:val="009A2665"/>
    <w:rPr>
      <w:rFonts w:eastAsiaTheme="majorEastAsia" w:cstheme="majorBidi"/>
      <w:b/>
      <w:bCs/>
      <w:sz w:val="28"/>
      <w:szCs w:val="26"/>
    </w:rPr>
  </w:style>
  <w:style w:type="character" w:customStyle="1" w:styleId="Titre3Car">
    <w:name w:val="Titre 3 Car"/>
    <w:basedOn w:val="Policepardfaut"/>
    <w:link w:val="Titre3"/>
    <w:uiPriority w:val="1"/>
    <w:rsid w:val="009A2665"/>
    <w:rPr>
      <w:rFonts w:eastAsiaTheme="majorEastAsia" w:cstheme="majorBidi"/>
      <w:b/>
      <w:bCs/>
      <w:sz w:val="25"/>
    </w:rPr>
  </w:style>
  <w:style w:type="character" w:customStyle="1" w:styleId="Titre4Car">
    <w:name w:val="Titre 4 Car"/>
    <w:basedOn w:val="Policepardfaut"/>
    <w:link w:val="Titre4"/>
    <w:uiPriority w:val="1"/>
    <w:rsid w:val="009A2665"/>
    <w:rPr>
      <w:rFonts w:eastAsiaTheme="majorEastAsia" w:cstheme="majorBidi"/>
      <w:bCs/>
      <w:iCs/>
      <w:sz w:val="25"/>
      <w:u w:val="single"/>
    </w:rPr>
  </w:style>
  <w:style w:type="character" w:customStyle="1" w:styleId="Titre5Car">
    <w:name w:val="Titre 5 Car"/>
    <w:basedOn w:val="Policepardfaut"/>
    <w:link w:val="Titre5"/>
    <w:uiPriority w:val="1"/>
    <w:rsid w:val="009A2665"/>
    <w:rPr>
      <w:rFonts w:eastAsiaTheme="majorEastAsia" w:cstheme="majorBidi"/>
    </w:rPr>
  </w:style>
  <w:style w:type="character" w:customStyle="1" w:styleId="Titre6Car">
    <w:name w:val="Titre 6 Car"/>
    <w:basedOn w:val="Policepardfaut"/>
    <w:link w:val="Titre6"/>
    <w:uiPriority w:val="1"/>
    <w:semiHidden/>
    <w:rsid w:val="00147278"/>
    <w:rPr>
      <w:rFonts w:asciiTheme="majorHAnsi" w:eastAsiaTheme="majorEastAsia" w:hAnsiTheme="majorHAnsi" w:cstheme="majorBidi"/>
      <w:i/>
      <w:iCs/>
      <w:color w:val="7F1510" w:themeColor="accent1" w:themeShade="7F"/>
    </w:rPr>
  </w:style>
  <w:style w:type="character" w:customStyle="1" w:styleId="Titre7Car">
    <w:name w:val="Titre 7 Car"/>
    <w:basedOn w:val="Policepardfaut"/>
    <w:link w:val="Titre7"/>
    <w:uiPriority w:val="1"/>
    <w:semiHidden/>
    <w:rsid w:val="00147278"/>
    <w:rPr>
      <w:rFonts w:asciiTheme="majorHAnsi" w:eastAsiaTheme="majorEastAsia" w:hAnsiTheme="majorHAnsi" w:cstheme="majorBidi"/>
      <w:i/>
      <w:iCs/>
      <w:color w:val="404040" w:themeColor="text1" w:themeTint="BF"/>
    </w:rPr>
  </w:style>
  <w:style w:type="character" w:customStyle="1" w:styleId="Titre8Car">
    <w:name w:val="Titre 8 Car"/>
    <w:basedOn w:val="Policepardfaut"/>
    <w:link w:val="Titre8"/>
    <w:uiPriority w:val="1"/>
    <w:semiHidden/>
    <w:rsid w:val="00147278"/>
    <w:rPr>
      <w:rFonts w:asciiTheme="majorHAnsi" w:eastAsiaTheme="majorEastAsia" w:hAnsiTheme="majorHAnsi" w:cstheme="majorBidi"/>
      <w:color w:val="404040" w:themeColor="text1" w:themeTint="BF"/>
      <w:szCs w:val="20"/>
    </w:rPr>
  </w:style>
  <w:style w:type="character" w:customStyle="1" w:styleId="Titre9Car">
    <w:name w:val="Titre 9 Car"/>
    <w:basedOn w:val="Policepardfaut"/>
    <w:link w:val="Titre9"/>
    <w:uiPriority w:val="1"/>
    <w:semiHidden/>
    <w:rsid w:val="00147278"/>
    <w:rPr>
      <w:rFonts w:asciiTheme="majorHAnsi" w:eastAsiaTheme="majorEastAsia" w:hAnsiTheme="majorHAnsi" w:cstheme="majorBidi"/>
      <w:i/>
      <w:iCs/>
      <w:color w:val="404040" w:themeColor="text1" w:themeTint="BF"/>
      <w:szCs w:val="20"/>
    </w:rPr>
  </w:style>
  <w:style w:type="paragraph" w:styleId="TM1">
    <w:name w:val="toc 1"/>
    <w:basedOn w:val="Normal"/>
    <w:next w:val="Normal"/>
    <w:uiPriority w:val="39"/>
    <w:rsid w:val="00832A0D"/>
    <w:pPr>
      <w:keepNext/>
      <w:tabs>
        <w:tab w:val="right" w:leader="dot" w:pos="8499"/>
      </w:tabs>
      <w:suppressAutoHyphens/>
      <w:spacing w:before="100" w:after="50"/>
      <w:ind w:left="538" w:right="1134" w:hanging="181"/>
      <w:jc w:val="left"/>
    </w:pPr>
    <w:rPr>
      <w:noProof/>
    </w:rPr>
  </w:style>
  <w:style w:type="paragraph" w:styleId="TM2">
    <w:name w:val="toc 2"/>
    <w:basedOn w:val="Normal"/>
    <w:next w:val="Normal"/>
    <w:uiPriority w:val="39"/>
    <w:rsid w:val="00E31CE8"/>
    <w:pPr>
      <w:tabs>
        <w:tab w:val="right" w:leader="dot" w:pos="8499"/>
      </w:tabs>
      <w:suppressAutoHyphens/>
      <w:spacing w:before="100" w:after="50"/>
      <w:ind w:left="896" w:right="1134" w:hanging="357"/>
      <w:contextualSpacing/>
      <w:jc w:val="left"/>
    </w:pPr>
    <w:rPr>
      <w:noProof/>
    </w:rPr>
  </w:style>
  <w:style w:type="paragraph" w:styleId="TM3">
    <w:name w:val="toc 3"/>
    <w:basedOn w:val="Normal"/>
    <w:next w:val="Normal"/>
    <w:uiPriority w:val="39"/>
    <w:rsid w:val="00E31CE8"/>
    <w:pPr>
      <w:tabs>
        <w:tab w:val="right" w:leader="dot" w:pos="8499"/>
      </w:tabs>
      <w:suppressAutoHyphens/>
      <w:spacing w:before="50" w:after="25"/>
      <w:ind w:left="1441" w:right="1134" w:hanging="539"/>
      <w:contextualSpacing/>
      <w:jc w:val="left"/>
    </w:pPr>
    <w:rPr>
      <w:noProof/>
    </w:rPr>
  </w:style>
  <w:style w:type="paragraph" w:styleId="TM4">
    <w:name w:val="toc 4"/>
    <w:basedOn w:val="Normal"/>
    <w:next w:val="Normal"/>
    <w:uiPriority w:val="39"/>
    <w:rsid w:val="007D2DE3"/>
    <w:pPr>
      <w:tabs>
        <w:tab w:val="right" w:leader="dot" w:pos="8499"/>
      </w:tabs>
      <w:suppressAutoHyphens/>
      <w:spacing w:before="20" w:after="20"/>
      <w:ind w:left="1797" w:right="1134" w:hanging="720"/>
      <w:contextualSpacing/>
      <w:jc w:val="left"/>
    </w:pPr>
    <w:rPr>
      <w:noProof/>
      <w:sz w:val="20"/>
    </w:rPr>
  </w:style>
  <w:style w:type="paragraph" w:styleId="TM5">
    <w:name w:val="toc 5"/>
    <w:basedOn w:val="Normal"/>
    <w:next w:val="Normal"/>
    <w:uiPriority w:val="39"/>
    <w:semiHidden/>
    <w:rsid w:val="004968CD"/>
    <w:pPr>
      <w:tabs>
        <w:tab w:val="left" w:pos="2520"/>
        <w:tab w:val="left" w:pos="2700"/>
        <w:tab w:val="left" w:pos="2880"/>
        <w:tab w:val="right" w:leader="dot" w:pos="9072"/>
      </w:tabs>
      <w:suppressAutoHyphens/>
      <w:spacing w:before="0" w:after="0"/>
      <w:ind w:left="2520" w:right="709" w:hanging="720"/>
      <w:contextualSpacing/>
      <w:jc w:val="left"/>
    </w:pPr>
    <w:rPr>
      <w:rFonts w:asciiTheme="majorHAnsi" w:hAnsiTheme="majorHAnsi"/>
      <w:noProof/>
      <w:sz w:val="18"/>
    </w:rPr>
  </w:style>
  <w:style w:type="paragraph" w:styleId="TM6">
    <w:name w:val="toc 6"/>
    <w:basedOn w:val="Normal"/>
    <w:next w:val="Normal"/>
    <w:uiPriority w:val="39"/>
    <w:semiHidden/>
    <w:rsid w:val="009F4E51"/>
    <w:pPr>
      <w:tabs>
        <w:tab w:val="right" w:pos="9072"/>
      </w:tabs>
      <w:suppressAutoHyphens/>
      <w:spacing w:before="20" w:after="20"/>
      <w:ind w:right="851"/>
      <w:contextualSpacing/>
      <w:jc w:val="left"/>
    </w:pPr>
    <w:rPr>
      <w:noProof/>
      <w:sz w:val="16"/>
    </w:rPr>
  </w:style>
  <w:style w:type="paragraph" w:styleId="TM7">
    <w:name w:val="toc 7"/>
    <w:basedOn w:val="Normal"/>
    <w:next w:val="Normal"/>
    <w:uiPriority w:val="39"/>
    <w:rsid w:val="00BF2A89"/>
    <w:pPr>
      <w:tabs>
        <w:tab w:val="right" w:leader="dot" w:pos="8499"/>
      </w:tabs>
      <w:suppressAutoHyphens/>
      <w:spacing w:before="30" w:after="30"/>
      <w:ind w:left="1259" w:right="1134" w:hanging="1259"/>
      <w:jc w:val="left"/>
    </w:pPr>
    <w:rPr>
      <w:noProof/>
    </w:rPr>
  </w:style>
  <w:style w:type="paragraph" w:styleId="TM8">
    <w:name w:val="toc 8"/>
    <w:basedOn w:val="Normal"/>
    <w:next w:val="Normal"/>
    <w:uiPriority w:val="39"/>
    <w:rsid w:val="002D376D"/>
    <w:pPr>
      <w:tabs>
        <w:tab w:val="right" w:leader="dot" w:pos="8499"/>
      </w:tabs>
      <w:suppressAutoHyphens/>
      <w:spacing w:before="200" w:after="100"/>
      <w:ind w:right="1134" w:firstLine="0"/>
      <w:jc w:val="left"/>
    </w:pPr>
    <w:rPr>
      <w:b/>
      <w:caps/>
      <w:noProof/>
    </w:rPr>
  </w:style>
  <w:style w:type="paragraph" w:styleId="TM9">
    <w:name w:val="toc 9"/>
    <w:basedOn w:val="Normal"/>
    <w:next w:val="Normal"/>
    <w:uiPriority w:val="39"/>
    <w:rsid w:val="000F7B51"/>
    <w:pPr>
      <w:tabs>
        <w:tab w:val="left" w:pos="3257"/>
        <w:tab w:val="right" w:leader="dot" w:pos="9072"/>
      </w:tabs>
      <w:suppressAutoHyphens/>
      <w:spacing w:before="100" w:after="240"/>
      <w:ind w:right="851" w:firstLine="0"/>
    </w:pPr>
    <w:rPr>
      <w:rFonts w:asciiTheme="minorHAnsi" w:eastAsiaTheme="minorEastAsia" w:hAnsiTheme="minorHAnsi"/>
      <w:noProof/>
      <w:sz w:val="22"/>
      <w:lang w:eastAsia="fr-FR"/>
    </w:rPr>
  </w:style>
  <w:style w:type="paragraph" w:customStyle="1" w:styleId="Titredurapport">
    <w:name w:val="Titre du rapport"/>
    <w:basedOn w:val="Normal"/>
    <w:uiPriority w:val="10"/>
    <w:rsid w:val="00305816"/>
    <w:pPr>
      <w:suppressAutoHyphens/>
      <w:spacing w:before="0" w:after="600"/>
      <w:ind w:left="794" w:right="794" w:firstLine="0"/>
      <w:jc w:val="right"/>
    </w:pPr>
    <w:rPr>
      <w:caps/>
      <w:sz w:val="56"/>
    </w:rPr>
  </w:style>
  <w:style w:type="paragraph" w:customStyle="1" w:styleId="TypedeRapport">
    <w:name w:val="Type de Rapport"/>
    <w:basedOn w:val="Normal"/>
    <w:uiPriority w:val="10"/>
    <w:rsid w:val="00FD78A3"/>
    <w:pPr>
      <w:suppressAutoHyphens/>
      <w:spacing w:before="0" w:after="600"/>
      <w:ind w:firstLine="0"/>
      <w:jc w:val="right"/>
    </w:pPr>
    <w:rPr>
      <w:rFonts w:cs="Times New Roman"/>
      <w:b/>
      <w:caps/>
      <w:sz w:val="40"/>
    </w:rPr>
  </w:style>
  <w:style w:type="character" w:styleId="Textedelespacerserv">
    <w:name w:val="Placeholder Text"/>
    <w:basedOn w:val="Policepardfaut"/>
    <w:uiPriority w:val="49"/>
    <w:semiHidden/>
    <w:rsid w:val="00AB07BC"/>
    <w:rPr>
      <w:color w:val="808080"/>
    </w:rPr>
  </w:style>
  <w:style w:type="paragraph" w:customStyle="1" w:styleId="Legal2">
    <w:name w:val="Legal 2"/>
    <w:basedOn w:val="Normal"/>
    <w:uiPriority w:val="6"/>
    <w:qFormat/>
    <w:rsid w:val="00F3085A"/>
    <w:pPr>
      <w:jc w:val="center"/>
    </w:pPr>
    <w:rPr>
      <w:b/>
      <w:sz w:val="20"/>
    </w:rPr>
  </w:style>
  <w:style w:type="paragraph" w:customStyle="1" w:styleId="Filetsparateur">
    <w:name w:val="Filet séparateur"/>
    <w:basedOn w:val="Normal"/>
    <w:next w:val="Normal"/>
    <w:uiPriority w:val="19"/>
    <w:semiHidden/>
    <w:rsid w:val="00BB7BFE"/>
    <w:pPr>
      <w:pBdr>
        <w:bottom w:val="single" w:sz="6" w:space="1" w:color="auto"/>
      </w:pBdr>
      <w:suppressAutoHyphens/>
      <w:spacing w:before="0" w:after="240"/>
      <w:ind w:right="8505" w:firstLine="0"/>
      <w:jc w:val="left"/>
    </w:pPr>
  </w:style>
  <w:style w:type="paragraph" w:customStyle="1" w:styleId="Titre-PASTOC">
    <w:name w:val="Titre - PAS TOC"/>
    <w:basedOn w:val="TITRENONNUMROT"/>
    <w:uiPriority w:val="1"/>
    <w:qFormat/>
    <w:rsid w:val="003D7E62"/>
    <w:pPr>
      <w:spacing w:before="0"/>
      <w:outlineLvl w:val="9"/>
    </w:pPr>
  </w:style>
  <w:style w:type="character" w:styleId="Numrodepage">
    <w:name w:val="page number"/>
    <w:basedOn w:val="Policepardfaut"/>
    <w:uiPriority w:val="49"/>
    <w:semiHidden/>
    <w:rsid w:val="00A12F62"/>
    <w:rPr>
      <w:sz w:val="24"/>
    </w:rPr>
  </w:style>
  <w:style w:type="paragraph" w:customStyle="1" w:styleId="TABLEDESMATIRES">
    <w:name w:val="TABLE DES MATIÈRES"/>
    <w:basedOn w:val="Normal"/>
    <w:next w:val="Normal"/>
    <w:uiPriority w:val="39"/>
    <w:rsid w:val="00FD78A3"/>
    <w:pPr>
      <w:pageBreakBefore/>
      <w:spacing w:before="0" w:after="700"/>
      <w:ind w:firstLine="0"/>
      <w:jc w:val="center"/>
    </w:pPr>
    <w:rPr>
      <w:b/>
      <w:caps/>
      <w:sz w:val="30"/>
    </w:rPr>
  </w:style>
  <w:style w:type="paragraph" w:customStyle="1" w:styleId="TITRENONNUMROT">
    <w:name w:val="TITRE NON NUMÉROTÉ"/>
    <w:basedOn w:val="Titre1"/>
    <w:next w:val="Normal"/>
    <w:uiPriority w:val="1"/>
    <w:rsid w:val="00BB7BFE"/>
    <w:pPr>
      <w:pageBreakBefore/>
      <w:numPr>
        <w:numId w:val="0"/>
      </w:numPr>
      <w:spacing w:after="700"/>
      <w:jc w:val="center"/>
    </w:pPr>
  </w:style>
  <w:style w:type="table" w:customStyle="1" w:styleId="Blank">
    <w:name w:val="Blank"/>
    <w:basedOn w:val="TableauNormal"/>
    <w:uiPriority w:val="99"/>
    <w:rsid w:val="0048757D"/>
    <w:pPr>
      <w:spacing w:after="0" w:line="240" w:lineRule="atLeast"/>
    </w:pPr>
    <w:rPr>
      <w:rFonts w:asciiTheme="minorHAnsi" w:eastAsiaTheme="minorHAnsi" w:hAnsiTheme="minorHAnsi"/>
      <w:sz w:val="20"/>
      <w:szCs w:val="20"/>
      <w:lang w:val="da-DK"/>
    </w:rPr>
    <w:tblPr>
      <w:tblCellMar>
        <w:left w:w="0" w:type="dxa"/>
        <w:right w:w="0" w:type="dxa"/>
      </w:tblCellMar>
    </w:tblPr>
  </w:style>
  <w:style w:type="paragraph" w:customStyle="1" w:styleId="TitreAnnexenumrot">
    <w:name w:val="Titre Annexe numéroté"/>
    <w:basedOn w:val="Normal"/>
    <w:next w:val="Normal"/>
    <w:uiPriority w:val="9"/>
    <w:rsid w:val="001079DA"/>
    <w:pPr>
      <w:keepNext/>
      <w:pageBreakBefore/>
      <w:numPr>
        <w:numId w:val="5"/>
      </w:numPr>
      <w:tabs>
        <w:tab w:val="clear" w:pos="1361"/>
        <w:tab w:val="left" w:pos="1474"/>
        <w:tab w:val="left" w:pos="1588"/>
      </w:tabs>
      <w:suppressAutoHyphens/>
      <w:spacing w:before="0" w:after="240"/>
      <w:jc w:val="center"/>
      <w:outlineLvl w:val="1"/>
    </w:pPr>
    <w:rPr>
      <w:b/>
      <w:sz w:val="26"/>
    </w:rPr>
  </w:style>
  <w:style w:type="paragraph" w:customStyle="1" w:styleId="Observation">
    <w:name w:val="Observation"/>
    <w:basedOn w:val="Normal"/>
    <w:next w:val="Normal"/>
    <w:uiPriority w:val="7"/>
    <w:rsid w:val="00FD78A3"/>
    <w:pPr>
      <w:keepNext/>
      <w:numPr>
        <w:numId w:val="6"/>
      </w:numPr>
      <w:pBdr>
        <w:bottom w:val="single" w:sz="6" w:space="1" w:color="2F7F85"/>
      </w:pBdr>
      <w:tabs>
        <w:tab w:val="left" w:pos="936"/>
      </w:tabs>
      <w:suppressAutoHyphens/>
      <w:spacing w:before="600" w:after="360"/>
      <w:jc w:val="left"/>
    </w:pPr>
    <w:rPr>
      <w:b/>
      <w:color w:val="2F7F85"/>
      <w:sz w:val="25"/>
    </w:rPr>
  </w:style>
  <w:style w:type="paragraph" w:customStyle="1" w:styleId="APOSTILLE">
    <w:name w:val="APOSTILLE"/>
    <w:basedOn w:val="Normal"/>
    <w:next w:val="Normal"/>
    <w:uiPriority w:val="7"/>
    <w:rsid w:val="00893CCF"/>
    <w:pPr>
      <w:suppressAutoHyphens/>
      <w:spacing w:before="480" w:after="480"/>
      <w:jc w:val="right"/>
    </w:pPr>
    <w:rPr>
      <w:b/>
      <w:caps/>
      <w:color w:val="2F7F85" w:themeColor="accent4"/>
    </w:rPr>
  </w:style>
  <w:style w:type="paragraph" w:customStyle="1" w:styleId="Projetderecommandationrapport">
    <w:name w:val="Projet de recommandation (rapport)"/>
    <w:basedOn w:val="Normal"/>
    <w:next w:val="Normal"/>
    <w:uiPriority w:val="11"/>
    <w:qFormat/>
    <w:rsid w:val="00653F50"/>
    <w:pPr>
      <w:keepNext/>
      <w:numPr>
        <w:numId w:val="28"/>
      </w:numPr>
      <w:pBdr>
        <w:top w:val="single" w:sz="4" w:space="1" w:color="auto"/>
        <w:left w:val="single" w:sz="4" w:space="4" w:color="auto"/>
        <w:bottom w:val="single" w:sz="4" w:space="1" w:color="auto"/>
        <w:right w:val="single" w:sz="4" w:space="4" w:color="auto"/>
      </w:pBdr>
      <w:tabs>
        <w:tab w:val="left" w:pos="3572"/>
        <w:tab w:val="left" w:pos="3714"/>
      </w:tabs>
      <w:suppressAutoHyphens/>
      <w:spacing w:before="480" w:after="240"/>
      <w:ind w:left="113" w:right="113" w:firstLine="0"/>
    </w:pPr>
    <w:rPr>
      <w:sz w:val="25"/>
    </w:rPr>
  </w:style>
  <w:style w:type="paragraph" w:customStyle="1" w:styleId="Titrecarte">
    <w:name w:val="Titre carte"/>
    <w:basedOn w:val="Lgende"/>
    <w:next w:val="Normal"/>
    <w:uiPriority w:val="9"/>
    <w:rsid w:val="007A0CF1"/>
    <w:pPr>
      <w:numPr>
        <w:numId w:val="7"/>
      </w:numPr>
      <w:spacing w:before="480" w:after="200"/>
      <w:jc w:val="center"/>
    </w:pPr>
    <w:rPr>
      <w:sz w:val="21"/>
    </w:rPr>
  </w:style>
  <w:style w:type="paragraph" w:customStyle="1" w:styleId="Titregraphique">
    <w:name w:val="Titre graphique"/>
    <w:basedOn w:val="Lgende"/>
    <w:next w:val="Normal"/>
    <w:uiPriority w:val="29"/>
    <w:rsid w:val="00A600F0"/>
    <w:pPr>
      <w:numPr>
        <w:numId w:val="8"/>
      </w:numPr>
      <w:spacing w:before="480" w:after="200"/>
      <w:jc w:val="center"/>
    </w:pPr>
    <w:rPr>
      <w:sz w:val="21"/>
    </w:rPr>
  </w:style>
  <w:style w:type="paragraph" w:customStyle="1" w:styleId="Titreorganigramme">
    <w:name w:val="Titre organigramme"/>
    <w:basedOn w:val="Lgende"/>
    <w:next w:val="Normal"/>
    <w:uiPriority w:val="9"/>
    <w:rsid w:val="00A600F0"/>
    <w:pPr>
      <w:numPr>
        <w:numId w:val="9"/>
      </w:numPr>
      <w:spacing w:before="480" w:after="200"/>
      <w:jc w:val="center"/>
    </w:pPr>
    <w:rPr>
      <w:sz w:val="21"/>
    </w:rPr>
  </w:style>
  <w:style w:type="paragraph" w:customStyle="1" w:styleId="Titrephoto">
    <w:name w:val="Titre photo"/>
    <w:basedOn w:val="Lgende"/>
    <w:next w:val="Normal"/>
    <w:uiPriority w:val="9"/>
    <w:rsid w:val="00A600F0"/>
    <w:pPr>
      <w:numPr>
        <w:numId w:val="10"/>
      </w:numPr>
      <w:spacing w:before="480" w:after="200"/>
      <w:jc w:val="center"/>
    </w:pPr>
    <w:rPr>
      <w:sz w:val="21"/>
    </w:rPr>
  </w:style>
  <w:style w:type="paragraph" w:customStyle="1" w:styleId="Titreschma">
    <w:name w:val="Titre schéma"/>
    <w:basedOn w:val="Lgende"/>
    <w:next w:val="Normal"/>
    <w:uiPriority w:val="9"/>
    <w:rsid w:val="00A600F0"/>
    <w:pPr>
      <w:numPr>
        <w:numId w:val="11"/>
      </w:numPr>
      <w:spacing w:before="480" w:after="200"/>
      <w:jc w:val="center"/>
    </w:pPr>
    <w:rPr>
      <w:sz w:val="21"/>
    </w:rPr>
  </w:style>
  <w:style w:type="paragraph" w:customStyle="1" w:styleId="Titretableau">
    <w:name w:val="Titre tableau"/>
    <w:basedOn w:val="Lgende"/>
    <w:next w:val="Normal"/>
    <w:uiPriority w:val="9"/>
    <w:rsid w:val="00A600F0"/>
    <w:pPr>
      <w:numPr>
        <w:numId w:val="12"/>
      </w:numPr>
      <w:spacing w:before="480" w:after="200"/>
      <w:jc w:val="center"/>
    </w:pPr>
    <w:rPr>
      <w:sz w:val="21"/>
    </w:rPr>
  </w:style>
  <w:style w:type="paragraph" w:customStyle="1" w:styleId="Normal-Espacementdelapremireligne">
    <w:name w:val="Normal - Espacement de la première ligne"/>
    <w:basedOn w:val="Normal"/>
    <w:next w:val="Normal"/>
    <w:qFormat/>
    <w:rsid w:val="00671BC4"/>
    <w:rPr>
      <w:i/>
    </w:rPr>
  </w:style>
  <w:style w:type="paragraph" w:customStyle="1" w:styleId="Nomdesrapporteurs">
    <w:name w:val="Nom des rapporteurs"/>
    <w:basedOn w:val="Normal"/>
    <w:uiPriority w:val="6"/>
    <w:rsid w:val="00FD78A3"/>
    <w:pPr>
      <w:suppressAutoHyphens/>
      <w:ind w:left="4536"/>
      <w:jc w:val="left"/>
    </w:pPr>
    <w:rPr>
      <w:rFonts w:cs="Times New Roman"/>
      <w:i/>
      <w:szCs w:val="24"/>
      <w:lang w:eastAsia="fr-FR"/>
    </w:rPr>
  </w:style>
  <w:style w:type="paragraph" w:customStyle="1" w:styleId="Numrotationcontinue">
    <w:name w:val="Numérotation continue"/>
    <w:basedOn w:val="Normal"/>
    <w:uiPriority w:val="4"/>
    <w:qFormat/>
    <w:rsid w:val="0087001C"/>
    <w:pPr>
      <w:numPr>
        <w:numId w:val="13"/>
      </w:numPr>
    </w:pPr>
  </w:style>
  <w:style w:type="paragraph" w:customStyle="1" w:styleId="Datedepublication">
    <w:name w:val="Date de publication"/>
    <w:basedOn w:val="Normal"/>
    <w:next w:val="Normal"/>
    <w:uiPriority w:val="14"/>
    <w:qFormat/>
    <w:rsid w:val="00FD78A3"/>
    <w:pPr>
      <w:spacing w:after="400"/>
      <w:ind w:left="794" w:right="794"/>
      <w:jc w:val="right"/>
    </w:pPr>
    <w:rPr>
      <w:rFonts w:cstheme="minorHAnsi"/>
      <w:sz w:val="32"/>
      <w:szCs w:val="24"/>
      <w:lang w:eastAsia="fr-FR"/>
    </w:rPr>
  </w:style>
  <w:style w:type="paragraph" w:styleId="Textedebulles">
    <w:name w:val="Balloon Text"/>
    <w:basedOn w:val="Normal"/>
    <w:link w:val="TextedebullesCar"/>
    <w:uiPriority w:val="49"/>
    <w:semiHidden/>
    <w:rsid w:val="00980037"/>
    <w:pPr>
      <w:spacing w:before="0" w:after="0"/>
    </w:pPr>
    <w:rPr>
      <w:rFonts w:cs="Times New Roman"/>
      <w:sz w:val="16"/>
      <w:szCs w:val="16"/>
    </w:rPr>
  </w:style>
  <w:style w:type="character" w:customStyle="1" w:styleId="TextedebullesCar">
    <w:name w:val="Texte de bulles Car"/>
    <w:basedOn w:val="Policepardfaut"/>
    <w:link w:val="Textedebulles"/>
    <w:uiPriority w:val="49"/>
    <w:semiHidden/>
    <w:rsid w:val="00980037"/>
    <w:rPr>
      <w:rFonts w:cs="Times New Roman"/>
      <w:sz w:val="16"/>
      <w:szCs w:val="16"/>
    </w:rPr>
  </w:style>
  <w:style w:type="paragraph" w:customStyle="1" w:styleId="PRAMBULE">
    <w:name w:val="PRÉAMBULE"/>
    <w:basedOn w:val="Normal"/>
    <w:uiPriority w:val="1"/>
    <w:rsid w:val="00BB7BFE"/>
    <w:pPr>
      <w:pageBreakBefore/>
      <w:spacing w:before="0" w:after="700"/>
      <w:ind w:firstLine="0"/>
      <w:jc w:val="center"/>
    </w:pPr>
    <w:rPr>
      <w:b/>
      <w:caps/>
      <w:sz w:val="30"/>
    </w:rPr>
  </w:style>
  <w:style w:type="paragraph" w:customStyle="1" w:styleId="Projetderecommandationsynthse">
    <w:name w:val="Projet de recommandation (synthèse)"/>
    <w:basedOn w:val="Normal"/>
    <w:uiPriority w:val="9"/>
    <w:semiHidden/>
    <w:rsid w:val="00C870D6"/>
    <w:pPr>
      <w:numPr>
        <w:numId w:val="16"/>
      </w:numPr>
      <w:spacing w:before="240" w:after="240"/>
    </w:pPr>
  </w:style>
  <w:style w:type="paragraph" w:customStyle="1" w:styleId="ANNEXES">
    <w:name w:val="ANNEXES"/>
    <w:basedOn w:val="Normal"/>
    <w:next w:val="Normal"/>
    <w:uiPriority w:val="10"/>
    <w:rsid w:val="00FD78A3"/>
    <w:pPr>
      <w:keepNext/>
      <w:pageBreakBefore/>
      <w:suppressAutoHyphens/>
      <w:spacing w:before="720" w:after="720"/>
      <w:ind w:firstLine="0"/>
      <w:jc w:val="center"/>
      <w:outlineLvl w:val="0"/>
    </w:pPr>
    <w:rPr>
      <w:b/>
      <w:caps/>
      <w:sz w:val="36"/>
    </w:rPr>
  </w:style>
  <w:style w:type="paragraph" w:customStyle="1" w:styleId="ContradictionNON">
    <w:name w:val="Contradiction NON"/>
    <w:basedOn w:val="Normal"/>
    <w:next w:val="Normal"/>
    <w:uiPriority w:val="10"/>
    <w:rsid w:val="00540B95"/>
    <w:pPr>
      <w:numPr>
        <w:numId w:val="14"/>
      </w:numPr>
      <w:jc w:val="right"/>
    </w:pPr>
    <w:rPr>
      <w:bdr w:val="single" w:sz="4" w:space="0" w:color="auto"/>
    </w:rPr>
  </w:style>
  <w:style w:type="paragraph" w:customStyle="1" w:styleId="ContradictionOUI">
    <w:name w:val="Contradiction OUI"/>
    <w:basedOn w:val="ContradictionNON"/>
    <w:next w:val="Normal"/>
    <w:uiPriority w:val="10"/>
    <w:rsid w:val="00540B95"/>
    <w:pPr>
      <w:numPr>
        <w:numId w:val="15"/>
      </w:numPr>
    </w:pPr>
  </w:style>
  <w:style w:type="paragraph" w:customStyle="1" w:styleId="CONCLUSIONINTERMDIAIRE">
    <w:name w:val="CONCLUSION INTERMÉDIAIRE"/>
    <w:basedOn w:val="Normal"/>
    <w:next w:val="Normal"/>
    <w:uiPriority w:val="8"/>
    <w:rsid w:val="00DE0556"/>
    <w:pPr>
      <w:keepNext/>
      <w:pBdr>
        <w:top w:val="single" w:sz="6" w:space="4" w:color="FFFFFF" w:themeColor="background1"/>
      </w:pBdr>
      <w:tabs>
        <w:tab w:val="center" w:leader="underscore" w:pos="4535"/>
        <w:tab w:val="right" w:leader="underscore" w:pos="9071"/>
      </w:tabs>
      <w:suppressAutoHyphens/>
      <w:spacing w:before="480" w:after="240"/>
      <w:ind w:firstLine="0"/>
      <w:jc w:val="center"/>
    </w:pPr>
    <w:rPr>
      <w:rFonts w:eastAsiaTheme="minorHAnsi"/>
      <w:b/>
      <w:i/>
      <w:caps/>
    </w:rPr>
  </w:style>
  <w:style w:type="paragraph" w:customStyle="1" w:styleId="CONCLUSIONINTERMDIAIRE-Traitdefinsurparagraphespar">
    <w:name w:val="CONCLUSION INTERMÉDIAIRE- Trait de fin (sur paragraphe séparé)"/>
    <w:basedOn w:val="Normal"/>
    <w:next w:val="Normal"/>
    <w:uiPriority w:val="8"/>
    <w:rsid w:val="003365CD"/>
    <w:pPr>
      <w:pBdr>
        <w:bottom w:val="single" w:sz="4" w:space="1" w:color="auto"/>
      </w:pBdr>
      <w:suppressAutoHyphens/>
      <w:spacing w:before="0" w:after="0" w:line="160" w:lineRule="exact"/>
      <w:ind w:firstLine="0"/>
      <w:jc w:val="left"/>
    </w:pPr>
    <w:rPr>
      <w:rFonts w:eastAsiaTheme="minorHAnsi"/>
      <w:i/>
    </w:rPr>
  </w:style>
  <w:style w:type="paragraph" w:customStyle="1" w:styleId="Intertitre">
    <w:name w:val="Intertitre"/>
    <w:basedOn w:val="Normal"/>
    <w:next w:val="Normal"/>
    <w:uiPriority w:val="1"/>
    <w:rsid w:val="00A659D9"/>
    <w:pPr>
      <w:keepNext/>
      <w:suppressAutoHyphens/>
      <w:spacing w:before="600" w:after="300"/>
      <w:ind w:left="1418" w:firstLine="0"/>
      <w:jc w:val="left"/>
    </w:pPr>
    <w:rPr>
      <w:b/>
      <w:i/>
      <w:sz w:val="27"/>
    </w:rPr>
  </w:style>
  <w:style w:type="paragraph" w:customStyle="1" w:styleId="Lgal1">
    <w:name w:val="Légal 1"/>
    <w:basedOn w:val="Normal"/>
    <w:next w:val="Normal"/>
    <w:uiPriority w:val="6"/>
    <w:rsid w:val="00C73978"/>
    <w:pPr>
      <w:tabs>
        <w:tab w:val="left" w:pos="6276"/>
      </w:tabs>
      <w:jc w:val="right"/>
    </w:pPr>
    <w:rPr>
      <w:sz w:val="20"/>
    </w:rPr>
  </w:style>
  <w:style w:type="paragraph" w:customStyle="1" w:styleId="Exercices">
    <w:name w:val="Exercices"/>
    <w:basedOn w:val="Normal"/>
    <w:next w:val="Normal"/>
    <w:uiPriority w:val="10"/>
    <w:rsid w:val="00283885"/>
    <w:pPr>
      <w:ind w:firstLine="0"/>
      <w:jc w:val="right"/>
    </w:pPr>
    <w:rPr>
      <w:rFonts w:cs="Times New Roman"/>
      <w:sz w:val="32"/>
    </w:rPr>
  </w:style>
  <w:style w:type="paragraph" w:customStyle="1" w:styleId="TypedocumentConfidentialit">
    <w:name w:val="Type document / Confidentialité"/>
    <w:basedOn w:val="Normal"/>
    <w:next w:val="Normal"/>
    <w:uiPriority w:val="10"/>
    <w:qFormat/>
    <w:rsid w:val="003024D8"/>
    <w:pPr>
      <w:suppressAutoHyphens/>
      <w:spacing w:before="0" w:after="0"/>
      <w:ind w:firstLine="0"/>
      <w:jc w:val="right"/>
    </w:pPr>
    <w:rPr>
      <w:b/>
      <w:sz w:val="28"/>
    </w:rPr>
  </w:style>
  <w:style w:type="character" w:styleId="Marquedecommentaire">
    <w:name w:val="annotation reference"/>
    <w:basedOn w:val="Policepardfaut"/>
    <w:uiPriority w:val="49"/>
    <w:semiHidden/>
    <w:rsid w:val="003D36BD"/>
    <w:rPr>
      <w:sz w:val="16"/>
      <w:szCs w:val="16"/>
    </w:rPr>
  </w:style>
  <w:style w:type="paragraph" w:styleId="Commentaire">
    <w:name w:val="annotation text"/>
    <w:basedOn w:val="Normal"/>
    <w:link w:val="CommentaireCar"/>
    <w:uiPriority w:val="49"/>
    <w:semiHidden/>
    <w:rsid w:val="003D36BD"/>
    <w:rPr>
      <w:sz w:val="20"/>
      <w:szCs w:val="20"/>
    </w:rPr>
  </w:style>
  <w:style w:type="character" w:customStyle="1" w:styleId="CommentaireCar">
    <w:name w:val="Commentaire Car"/>
    <w:basedOn w:val="Policepardfaut"/>
    <w:link w:val="Commentaire"/>
    <w:uiPriority w:val="49"/>
    <w:semiHidden/>
    <w:rsid w:val="00330600"/>
    <w:rPr>
      <w:sz w:val="20"/>
      <w:szCs w:val="20"/>
    </w:rPr>
  </w:style>
  <w:style w:type="paragraph" w:styleId="Objetducommentaire">
    <w:name w:val="annotation subject"/>
    <w:basedOn w:val="Commentaire"/>
    <w:next w:val="Commentaire"/>
    <w:link w:val="ObjetducommentaireCar"/>
    <w:uiPriority w:val="49"/>
    <w:semiHidden/>
    <w:rsid w:val="003D36BD"/>
    <w:rPr>
      <w:b/>
      <w:bCs/>
    </w:rPr>
  </w:style>
  <w:style w:type="character" w:customStyle="1" w:styleId="ObjetducommentaireCar">
    <w:name w:val="Objet du commentaire Car"/>
    <w:basedOn w:val="CommentaireCar"/>
    <w:link w:val="Objetducommentaire"/>
    <w:uiPriority w:val="49"/>
    <w:semiHidden/>
    <w:rsid w:val="00330600"/>
    <w:rPr>
      <w:b/>
      <w:bCs/>
      <w:sz w:val="20"/>
      <w:szCs w:val="20"/>
    </w:rPr>
  </w:style>
  <w:style w:type="numbering" w:styleId="111111">
    <w:name w:val="Outline List 2"/>
    <w:basedOn w:val="Aucuneliste"/>
    <w:uiPriority w:val="99"/>
    <w:semiHidden/>
    <w:unhideWhenUsed/>
    <w:rsid w:val="00924684"/>
    <w:pPr>
      <w:numPr>
        <w:numId w:val="17"/>
      </w:numPr>
    </w:pPr>
  </w:style>
  <w:style w:type="numbering" w:styleId="1ai">
    <w:name w:val="Outline List 1"/>
    <w:basedOn w:val="Aucuneliste"/>
    <w:uiPriority w:val="99"/>
    <w:semiHidden/>
    <w:unhideWhenUsed/>
    <w:rsid w:val="00924684"/>
    <w:pPr>
      <w:numPr>
        <w:numId w:val="18"/>
      </w:numPr>
    </w:pPr>
  </w:style>
  <w:style w:type="paragraph" w:styleId="Bibliographie">
    <w:name w:val="Bibliography"/>
    <w:basedOn w:val="Normal"/>
    <w:next w:val="Normal"/>
    <w:uiPriority w:val="49"/>
    <w:semiHidden/>
    <w:rsid w:val="00924684"/>
  </w:style>
  <w:style w:type="paragraph" w:styleId="Corpsdetexte">
    <w:name w:val="Body Text"/>
    <w:basedOn w:val="Normal"/>
    <w:link w:val="CorpsdetexteCar"/>
    <w:uiPriority w:val="49"/>
    <w:semiHidden/>
    <w:rsid w:val="00924684"/>
  </w:style>
  <w:style w:type="character" w:customStyle="1" w:styleId="CorpsdetexteCar">
    <w:name w:val="Corps de texte Car"/>
    <w:basedOn w:val="Policepardfaut"/>
    <w:link w:val="Corpsdetexte"/>
    <w:uiPriority w:val="49"/>
    <w:semiHidden/>
    <w:rsid w:val="00330600"/>
  </w:style>
  <w:style w:type="paragraph" w:styleId="Corpsdetexte2">
    <w:name w:val="Body Text 2"/>
    <w:basedOn w:val="Normal"/>
    <w:link w:val="Corpsdetexte2Car"/>
    <w:uiPriority w:val="49"/>
    <w:semiHidden/>
    <w:rsid w:val="00924684"/>
    <w:pPr>
      <w:spacing w:line="480" w:lineRule="auto"/>
    </w:pPr>
  </w:style>
  <w:style w:type="character" w:customStyle="1" w:styleId="Corpsdetexte2Car">
    <w:name w:val="Corps de texte 2 Car"/>
    <w:basedOn w:val="Policepardfaut"/>
    <w:link w:val="Corpsdetexte2"/>
    <w:uiPriority w:val="49"/>
    <w:semiHidden/>
    <w:rsid w:val="00330600"/>
  </w:style>
  <w:style w:type="paragraph" w:styleId="Corpsdetexte3">
    <w:name w:val="Body Text 3"/>
    <w:basedOn w:val="Normal"/>
    <w:link w:val="Corpsdetexte3Car"/>
    <w:uiPriority w:val="49"/>
    <w:semiHidden/>
    <w:rsid w:val="00924684"/>
    <w:rPr>
      <w:sz w:val="16"/>
      <w:szCs w:val="16"/>
    </w:rPr>
  </w:style>
  <w:style w:type="character" w:customStyle="1" w:styleId="Corpsdetexte3Car">
    <w:name w:val="Corps de texte 3 Car"/>
    <w:basedOn w:val="Policepardfaut"/>
    <w:link w:val="Corpsdetexte3"/>
    <w:uiPriority w:val="49"/>
    <w:semiHidden/>
    <w:rsid w:val="00330600"/>
    <w:rPr>
      <w:sz w:val="16"/>
      <w:szCs w:val="16"/>
    </w:rPr>
  </w:style>
  <w:style w:type="paragraph" w:styleId="Retrait1religne">
    <w:name w:val="Body Text First Indent"/>
    <w:basedOn w:val="Corpsdetexte"/>
    <w:link w:val="Retrait1religneCar"/>
    <w:uiPriority w:val="49"/>
    <w:semiHidden/>
    <w:rsid w:val="00924684"/>
    <w:pPr>
      <w:ind w:firstLine="360"/>
    </w:pPr>
  </w:style>
  <w:style w:type="character" w:customStyle="1" w:styleId="Retrait1religneCar">
    <w:name w:val="Retrait 1re ligne Car"/>
    <w:basedOn w:val="CorpsdetexteCar"/>
    <w:link w:val="Retrait1religne"/>
    <w:uiPriority w:val="49"/>
    <w:semiHidden/>
    <w:rsid w:val="00330600"/>
  </w:style>
  <w:style w:type="paragraph" w:styleId="Retraitcorpsdetexte">
    <w:name w:val="Body Text Indent"/>
    <w:basedOn w:val="Normal"/>
    <w:link w:val="RetraitcorpsdetexteCar"/>
    <w:uiPriority w:val="49"/>
    <w:semiHidden/>
    <w:rsid w:val="00924684"/>
    <w:pPr>
      <w:ind w:left="283"/>
    </w:pPr>
  </w:style>
  <w:style w:type="character" w:customStyle="1" w:styleId="RetraitcorpsdetexteCar">
    <w:name w:val="Retrait corps de texte Car"/>
    <w:basedOn w:val="Policepardfaut"/>
    <w:link w:val="Retraitcorpsdetexte"/>
    <w:uiPriority w:val="49"/>
    <w:semiHidden/>
    <w:rsid w:val="00330600"/>
  </w:style>
  <w:style w:type="paragraph" w:styleId="Retraitcorpset1relig">
    <w:name w:val="Body Text First Indent 2"/>
    <w:basedOn w:val="Retraitcorpsdetexte"/>
    <w:link w:val="Retraitcorpset1religCar"/>
    <w:uiPriority w:val="49"/>
    <w:semiHidden/>
    <w:rsid w:val="00924684"/>
    <w:pPr>
      <w:ind w:left="360" w:firstLine="360"/>
    </w:pPr>
  </w:style>
  <w:style w:type="character" w:customStyle="1" w:styleId="Retraitcorpset1religCar">
    <w:name w:val="Retrait corps et 1re lig. Car"/>
    <w:basedOn w:val="RetraitcorpsdetexteCar"/>
    <w:link w:val="Retraitcorpset1relig"/>
    <w:uiPriority w:val="49"/>
    <w:semiHidden/>
    <w:rsid w:val="00330600"/>
  </w:style>
  <w:style w:type="paragraph" w:styleId="Retraitcorpsdetexte2">
    <w:name w:val="Body Text Indent 2"/>
    <w:basedOn w:val="Normal"/>
    <w:link w:val="Retraitcorpsdetexte2Car"/>
    <w:uiPriority w:val="49"/>
    <w:semiHidden/>
    <w:rsid w:val="00924684"/>
    <w:pPr>
      <w:spacing w:line="480" w:lineRule="auto"/>
      <w:ind w:left="283"/>
    </w:pPr>
  </w:style>
  <w:style w:type="character" w:customStyle="1" w:styleId="Retraitcorpsdetexte2Car">
    <w:name w:val="Retrait corps de texte 2 Car"/>
    <w:basedOn w:val="Policepardfaut"/>
    <w:link w:val="Retraitcorpsdetexte2"/>
    <w:uiPriority w:val="49"/>
    <w:semiHidden/>
    <w:rsid w:val="00330600"/>
  </w:style>
  <w:style w:type="character" w:customStyle="1" w:styleId="BodyTextIndent3Char">
    <w:name w:val="Body Text Indent 3 Char"/>
    <w:basedOn w:val="Policepardfaut"/>
    <w:uiPriority w:val="49"/>
    <w:semiHidden/>
    <w:rsid w:val="00330600"/>
    <w:rPr>
      <w:sz w:val="16"/>
      <w:szCs w:val="16"/>
    </w:rPr>
  </w:style>
  <w:style w:type="paragraph" w:styleId="Formuledepolitesse">
    <w:name w:val="Closing"/>
    <w:basedOn w:val="Normal"/>
    <w:link w:val="FormuledepolitesseCar"/>
    <w:uiPriority w:val="49"/>
    <w:semiHidden/>
    <w:rsid w:val="00924684"/>
    <w:pPr>
      <w:spacing w:before="0" w:after="0"/>
      <w:ind w:left="4252"/>
    </w:pPr>
  </w:style>
  <w:style w:type="character" w:customStyle="1" w:styleId="FormuledepolitesseCar">
    <w:name w:val="Formule de politesse Car"/>
    <w:basedOn w:val="Policepardfaut"/>
    <w:link w:val="Formuledepolitesse"/>
    <w:uiPriority w:val="49"/>
    <w:semiHidden/>
    <w:rsid w:val="00330600"/>
  </w:style>
  <w:style w:type="table" w:styleId="Grillecouleur">
    <w:name w:val="Colorful Grid"/>
    <w:basedOn w:val="TableauNormal"/>
    <w:uiPriority w:val="73"/>
    <w:semiHidden/>
    <w:unhideWhenUsed/>
    <w:rsid w:val="0092468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rillecouleur-Accent1">
    <w:name w:val="Colorful Grid Accent 1"/>
    <w:basedOn w:val="TableauNormal"/>
    <w:uiPriority w:val="73"/>
    <w:semiHidden/>
    <w:unhideWhenUsed/>
    <w:rsid w:val="0092468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AD9D8" w:themeFill="accent1" w:themeFillTint="33"/>
    </w:tcPr>
    <w:tblStylePr w:type="firstRow">
      <w:rPr>
        <w:b/>
        <w:bCs/>
      </w:rPr>
      <w:tblPr/>
      <w:tcPr>
        <w:shd w:val="clear" w:color="auto" w:fill="F5B4B1" w:themeFill="accent1" w:themeFillTint="66"/>
      </w:tcPr>
    </w:tblStylePr>
    <w:tblStylePr w:type="lastRow">
      <w:rPr>
        <w:b/>
        <w:bCs/>
        <w:color w:val="000000" w:themeColor="text1"/>
      </w:rPr>
      <w:tblPr/>
      <w:tcPr>
        <w:shd w:val="clear" w:color="auto" w:fill="F5B4B1" w:themeFill="accent1" w:themeFillTint="66"/>
      </w:tcPr>
    </w:tblStylePr>
    <w:tblStylePr w:type="firstCol">
      <w:rPr>
        <w:color w:val="FFFFFF" w:themeColor="background1"/>
      </w:rPr>
      <w:tblPr/>
      <w:tcPr>
        <w:shd w:val="clear" w:color="auto" w:fill="C02018" w:themeFill="accent1" w:themeFillShade="BF"/>
      </w:tcPr>
    </w:tblStylePr>
    <w:tblStylePr w:type="lastCol">
      <w:rPr>
        <w:color w:val="FFFFFF" w:themeColor="background1"/>
      </w:rPr>
      <w:tblPr/>
      <w:tcPr>
        <w:shd w:val="clear" w:color="auto" w:fill="C02018" w:themeFill="accent1" w:themeFillShade="BF"/>
      </w:tcPr>
    </w:tblStylePr>
    <w:tblStylePr w:type="band1Vert">
      <w:tblPr/>
      <w:tcPr>
        <w:shd w:val="clear" w:color="auto" w:fill="F2A19D" w:themeFill="accent1" w:themeFillTint="7F"/>
      </w:tcPr>
    </w:tblStylePr>
    <w:tblStylePr w:type="band1Horz">
      <w:tblPr/>
      <w:tcPr>
        <w:shd w:val="clear" w:color="auto" w:fill="F2A19D" w:themeFill="accent1" w:themeFillTint="7F"/>
      </w:tcPr>
    </w:tblStylePr>
  </w:style>
  <w:style w:type="table" w:styleId="Grillecouleur-Accent2">
    <w:name w:val="Colorful Grid Accent 2"/>
    <w:basedOn w:val="TableauNormal"/>
    <w:uiPriority w:val="73"/>
    <w:semiHidden/>
    <w:unhideWhenUsed/>
    <w:rsid w:val="0092468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DDDEA" w:themeFill="accent2" w:themeFillTint="33"/>
    </w:tcPr>
    <w:tblStylePr w:type="firstRow">
      <w:rPr>
        <w:b/>
        <w:bCs/>
      </w:rPr>
      <w:tblPr/>
      <w:tcPr>
        <w:shd w:val="clear" w:color="auto" w:fill="DBBBD6" w:themeFill="accent2" w:themeFillTint="66"/>
      </w:tcPr>
    </w:tblStylePr>
    <w:tblStylePr w:type="lastRow">
      <w:rPr>
        <w:b/>
        <w:bCs/>
        <w:color w:val="000000" w:themeColor="text1"/>
      </w:rPr>
      <w:tblPr/>
      <w:tcPr>
        <w:shd w:val="clear" w:color="auto" w:fill="DBBBD6" w:themeFill="accent2" w:themeFillTint="66"/>
      </w:tcPr>
    </w:tblStylePr>
    <w:tblStylePr w:type="firstCol">
      <w:rPr>
        <w:color w:val="FFFFFF" w:themeColor="background1"/>
      </w:rPr>
      <w:tblPr/>
      <w:tcPr>
        <w:shd w:val="clear" w:color="auto" w:fill="7C4272" w:themeFill="accent2" w:themeFillShade="BF"/>
      </w:tcPr>
    </w:tblStylePr>
    <w:tblStylePr w:type="lastCol">
      <w:rPr>
        <w:color w:val="FFFFFF" w:themeColor="background1"/>
      </w:rPr>
      <w:tblPr/>
      <w:tcPr>
        <w:shd w:val="clear" w:color="auto" w:fill="7C4272" w:themeFill="accent2" w:themeFillShade="BF"/>
      </w:tcPr>
    </w:tblStylePr>
    <w:tblStylePr w:type="band1Vert">
      <w:tblPr/>
      <w:tcPr>
        <w:shd w:val="clear" w:color="auto" w:fill="D2ABCC" w:themeFill="accent2" w:themeFillTint="7F"/>
      </w:tcPr>
    </w:tblStylePr>
    <w:tblStylePr w:type="band1Horz">
      <w:tblPr/>
      <w:tcPr>
        <w:shd w:val="clear" w:color="auto" w:fill="D2ABCC" w:themeFill="accent2" w:themeFillTint="7F"/>
      </w:tcPr>
    </w:tblStylePr>
  </w:style>
  <w:style w:type="table" w:styleId="Grillecouleur-Accent3">
    <w:name w:val="Colorful Grid Accent 3"/>
    <w:basedOn w:val="TableauNormal"/>
    <w:uiPriority w:val="73"/>
    <w:semiHidden/>
    <w:unhideWhenUsed/>
    <w:rsid w:val="0092468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AF5" w:themeFill="accent3" w:themeFillTint="33"/>
    </w:tcPr>
    <w:tblStylePr w:type="firstRow">
      <w:rPr>
        <w:b/>
        <w:bCs/>
      </w:rPr>
      <w:tblPr/>
      <w:tcPr>
        <w:shd w:val="clear" w:color="auto" w:fill="B7D5EB" w:themeFill="accent3" w:themeFillTint="66"/>
      </w:tcPr>
    </w:tblStylePr>
    <w:tblStylePr w:type="lastRow">
      <w:rPr>
        <w:b/>
        <w:bCs/>
        <w:color w:val="000000" w:themeColor="text1"/>
      </w:rPr>
      <w:tblPr/>
      <w:tcPr>
        <w:shd w:val="clear" w:color="auto" w:fill="B7D5EB" w:themeFill="accent3" w:themeFillTint="66"/>
      </w:tcPr>
    </w:tblStylePr>
    <w:tblStylePr w:type="firstCol">
      <w:rPr>
        <w:color w:val="FFFFFF" w:themeColor="background1"/>
      </w:rPr>
      <w:tblPr/>
      <w:tcPr>
        <w:shd w:val="clear" w:color="auto" w:fill="2D72A4" w:themeFill="accent3" w:themeFillShade="BF"/>
      </w:tcPr>
    </w:tblStylePr>
    <w:tblStylePr w:type="lastCol">
      <w:rPr>
        <w:color w:val="FFFFFF" w:themeColor="background1"/>
      </w:rPr>
      <w:tblPr/>
      <w:tcPr>
        <w:shd w:val="clear" w:color="auto" w:fill="2D72A4" w:themeFill="accent3" w:themeFillShade="BF"/>
      </w:tcPr>
    </w:tblStylePr>
    <w:tblStylePr w:type="band1Vert">
      <w:tblPr/>
      <w:tcPr>
        <w:shd w:val="clear" w:color="auto" w:fill="A5CBE6" w:themeFill="accent3" w:themeFillTint="7F"/>
      </w:tcPr>
    </w:tblStylePr>
    <w:tblStylePr w:type="band1Horz">
      <w:tblPr/>
      <w:tcPr>
        <w:shd w:val="clear" w:color="auto" w:fill="A5CBE6" w:themeFill="accent3" w:themeFillTint="7F"/>
      </w:tcPr>
    </w:tblStylePr>
  </w:style>
  <w:style w:type="table" w:styleId="Grillecouleur-Accent4">
    <w:name w:val="Colorful Grid Accent 4"/>
    <w:basedOn w:val="TableauNormal"/>
    <w:uiPriority w:val="73"/>
    <w:semiHidden/>
    <w:unhideWhenUsed/>
    <w:rsid w:val="0092468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EEBED" w:themeFill="accent4" w:themeFillTint="33"/>
    </w:tcPr>
    <w:tblStylePr w:type="firstRow">
      <w:rPr>
        <w:b/>
        <w:bCs/>
      </w:rPr>
      <w:tblPr/>
      <w:tcPr>
        <w:shd w:val="clear" w:color="auto" w:fill="9DD8DC" w:themeFill="accent4" w:themeFillTint="66"/>
      </w:tcPr>
    </w:tblStylePr>
    <w:tblStylePr w:type="lastRow">
      <w:rPr>
        <w:b/>
        <w:bCs/>
        <w:color w:val="000000" w:themeColor="text1"/>
      </w:rPr>
      <w:tblPr/>
      <w:tcPr>
        <w:shd w:val="clear" w:color="auto" w:fill="9DD8DC" w:themeFill="accent4" w:themeFillTint="66"/>
      </w:tcPr>
    </w:tblStylePr>
    <w:tblStylePr w:type="firstCol">
      <w:rPr>
        <w:color w:val="FFFFFF" w:themeColor="background1"/>
      </w:rPr>
      <w:tblPr/>
      <w:tcPr>
        <w:shd w:val="clear" w:color="auto" w:fill="235E63" w:themeFill="accent4" w:themeFillShade="BF"/>
      </w:tcPr>
    </w:tblStylePr>
    <w:tblStylePr w:type="lastCol">
      <w:rPr>
        <w:color w:val="FFFFFF" w:themeColor="background1"/>
      </w:rPr>
      <w:tblPr/>
      <w:tcPr>
        <w:shd w:val="clear" w:color="auto" w:fill="235E63" w:themeFill="accent4" w:themeFillShade="BF"/>
      </w:tcPr>
    </w:tblStylePr>
    <w:tblStylePr w:type="band1Vert">
      <w:tblPr/>
      <w:tcPr>
        <w:shd w:val="clear" w:color="auto" w:fill="85CED4" w:themeFill="accent4" w:themeFillTint="7F"/>
      </w:tcPr>
    </w:tblStylePr>
    <w:tblStylePr w:type="band1Horz">
      <w:tblPr/>
      <w:tcPr>
        <w:shd w:val="clear" w:color="auto" w:fill="85CED4" w:themeFill="accent4" w:themeFillTint="7F"/>
      </w:tcPr>
    </w:tblStylePr>
  </w:style>
  <w:style w:type="table" w:styleId="Grillecouleur-Accent5">
    <w:name w:val="Colorful Grid Accent 5"/>
    <w:basedOn w:val="TableauNormal"/>
    <w:uiPriority w:val="73"/>
    <w:semiHidden/>
    <w:unhideWhenUsed/>
    <w:rsid w:val="0092468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EF1D2" w:themeFill="accent5" w:themeFillTint="33"/>
    </w:tcPr>
    <w:tblStylePr w:type="firstRow">
      <w:rPr>
        <w:b/>
        <w:bCs/>
      </w:rPr>
      <w:tblPr/>
      <w:tcPr>
        <w:shd w:val="clear" w:color="auto" w:fill="FDE4A6" w:themeFill="accent5" w:themeFillTint="66"/>
      </w:tcPr>
    </w:tblStylePr>
    <w:tblStylePr w:type="lastRow">
      <w:rPr>
        <w:b/>
        <w:bCs/>
        <w:color w:val="000000" w:themeColor="text1"/>
      </w:rPr>
      <w:tblPr/>
      <w:tcPr>
        <w:shd w:val="clear" w:color="auto" w:fill="FDE4A6" w:themeFill="accent5" w:themeFillTint="66"/>
      </w:tcPr>
    </w:tblStylePr>
    <w:tblStylePr w:type="firstCol">
      <w:rPr>
        <w:color w:val="FFFFFF" w:themeColor="background1"/>
      </w:rPr>
      <w:tblPr/>
      <w:tcPr>
        <w:shd w:val="clear" w:color="auto" w:fill="CE9504" w:themeFill="accent5" w:themeFillShade="BF"/>
      </w:tcPr>
    </w:tblStylePr>
    <w:tblStylePr w:type="lastCol">
      <w:rPr>
        <w:color w:val="FFFFFF" w:themeColor="background1"/>
      </w:rPr>
      <w:tblPr/>
      <w:tcPr>
        <w:shd w:val="clear" w:color="auto" w:fill="CE9504" w:themeFill="accent5" w:themeFillShade="BF"/>
      </w:tcPr>
    </w:tblStylePr>
    <w:tblStylePr w:type="band1Vert">
      <w:tblPr/>
      <w:tcPr>
        <w:shd w:val="clear" w:color="auto" w:fill="FCDD90" w:themeFill="accent5" w:themeFillTint="7F"/>
      </w:tcPr>
    </w:tblStylePr>
    <w:tblStylePr w:type="band1Horz">
      <w:tblPr/>
      <w:tcPr>
        <w:shd w:val="clear" w:color="auto" w:fill="FCDD90" w:themeFill="accent5" w:themeFillTint="7F"/>
      </w:tcPr>
    </w:tblStylePr>
  </w:style>
  <w:style w:type="table" w:styleId="Grillecouleur-Accent6">
    <w:name w:val="Colorful Grid Accent 6"/>
    <w:basedOn w:val="TableauNormal"/>
    <w:uiPriority w:val="73"/>
    <w:rsid w:val="0092468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7D9E8" w:themeFill="accent6" w:themeFillTint="33"/>
    </w:tcPr>
    <w:tblStylePr w:type="firstRow">
      <w:rPr>
        <w:b/>
        <w:bCs/>
      </w:rPr>
      <w:tblPr/>
      <w:tcPr>
        <w:shd w:val="clear" w:color="auto" w:fill="EFB3D1" w:themeFill="accent6" w:themeFillTint="66"/>
      </w:tcPr>
    </w:tblStylePr>
    <w:tblStylePr w:type="lastRow">
      <w:rPr>
        <w:b/>
        <w:bCs/>
        <w:color w:val="000000" w:themeColor="text1"/>
      </w:rPr>
      <w:tblPr/>
      <w:tcPr>
        <w:shd w:val="clear" w:color="auto" w:fill="EFB3D1" w:themeFill="accent6" w:themeFillTint="66"/>
      </w:tcPr>
    </w:tblStylePr>
    <w:tblStylePr w:type="firstCol">
      <w:rPr>
        <w:color w:val="FFFFFF" w:themeColor="background1"/>
      </w:rPr>
      <w:tblPr/>
      <w:tcPr>
        <w:shd w:val="clear" w:color="auto" w:fill="AD2469" w:themeFill="accent6" w:themeFillShade="BF"/>
      </w:tcPr>
    </w:tblStylePr>
    <w:tblStylePr w:type="lastCol">
      <w:rPr>
        <w:color w:val="FFFFFF" w:themeColor="background1"/>
      </w:rPr>
      <w:tblPr/>
      <w:tcPr>
        <w:shd w:val="clear" w:color="auto" w:fill="AD2469" w:themeFill="accent6" w:themeFillShade="BF"/>
      </w:tcPr>
    </w:tblStylePr>
    <w:tblStylePr w:type="band1Vert">
      <w:tblPr/>
      <w:tcPr>
        <w:shd w:val="clear" w:color="auto" w:fill="EBA0C6" w:themeFill="accent6" w:themeFillTint="7F"/>
      </w:tcPr>
    </w:tblStylePr>
    <w:tblStylePr w:type="band1Horz">
      <w:tblPr/>
      <w:tcPr>
        <w:shd w:val="clear" w:color="auto" w:fill="EBA0C6" w:themeFill="accent6" w:themeFillTint="7F"/>
      </w:tcPr>
    </w:tblStylePr>
  </w:style>
  <w:style w:type="table" w:styleId="Listecouleur">
    <w:name w:val="Colorful List"/>
    <w:basedOn w:val="TableauNormal"/>
    <w:uiPriority w:val="72"/>
    <w:semiHidden/>
    <w:unhideWhenUsed/>
    <w:rsid w:val="0092468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84467A" w:themeFill="accent2" w:themeFillShade="CC"/>
      </w:tcPr>
    </w:tblStylePr>
    <w:tblStylePr w:type="lastRow">
      <w:rPr>
        <w:b/>
        <w:bCs/>
        <w:color w:val="84467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Listecouleur-Accent1">
    <w:name w:val="Colorful List Accent 1"/>
    <w:basedOn w:val="TableauNormal"/>
    <w:uiPriority w:val="72"/>
    <w:semiHidden/>
    <w:unhideWhenUsed/>
    <w:rsid w:val="00924684"/>
    <w:pPr>
      <w:spacing w:after="0" w:line="240" w:lineRule="auto"/>
    </w:pPr>
    <w:rPr>
      <w:color w:val="000000" w:themeColor="text1"/>
    </w:rPr>
    <w:tblPr>
      <w:tblStyleRowBandSize w:val="1"/>
      <w:tblStyleColBandSize w:val="1"/>
    </w:tblPr>
    <w:tcPr>
      <w:shd w:val="clear" w:color="auto" w:fill="FCECEB" w:themeFill="accent1" w:themeFillTint="19"/>
    </w:tcPr>
    <w:tblStylePr w:type="firstRow">
      <w:rPr>
        <w:b/>
        <w:bCs/>
        <w:color w:val="FFFFFF" w:themeColor="background1"/>
      </w:rPr>
      <w:tblPr/>
      <w:tcPr>
        <w:tcBorders>
          <w:bottom w:val="single" w:sz="12" w:space="0" w:color="FFFFFF" w:themeColor="background1"/>
        </w:tcBorders>
        <w:shd w:val="clear" w:color="auto" w:fill="84467A" w:themeFill="accent2" w:themeFillShade="CC"/>
      </w:tcPr>
    </w:tblStylePr>
    <w:tblStylePr w:type="lastRow">
      <w:rPr>
        <w:b/>
        <w:bCs/>
        <w:color w:val="84467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8D0CE" w:themeFill="accent1" w:themeFillTint="3F"/>
      </w:tcPr>
    </w:tblStylePr>
    <w:tblStylePr w:type="band1Horz">
      <w:tblPr/>
      <w:tcPr>
        <w:shd w:val="clear" w:color="auto" w:fill="FAD9D8" w:themeFill="accent1" w:themeFillTint="33"/>
      </w:tcPr>
    </w:tblStylePr>
  </w:style>
  <w:style w:type="table" w:styleId="Listecouleur-Accent2">
    <w:name w:val="Colorful List Accent 2"/>
    <w:basedOn w:val="TableauNormal"/>
    <w:uiPriority w:val="72"/>
    <w:semiHidden/>
    <w:unhideWhenUsed/>
    <w:rsid w:val="00924684"/>
    <w:pPr>
      <w:spacing w:after="0" w:line="240" w:lineRule="auto"/>
    </w:pPr>
    <w:rPr>
      <w:color w:val="000000" w:themeColor="text1"/>
    </w:rPr>
    <w:tblPr>
      <w:tblStyleRowBandSize w:val="1"/>
      <w:tblStyleColBandSize w:val="1"/>
    </w:tblPr>
    <w:tcPr>
      <w:shd w:val="clear" w:color="auto" w:fill="F6EEF5" w:themeFill="accent2" w:themeFillTint="19"/>
    </w:tcPr>
    <w:tblStylePr w:type="firstRow">
      <w:rPr>
        <w:b/>
        <w:bCs/>
        <w:color w:val="FFFFFF" w:themeColor="background1"/>
      </w:rPr>
      <w:tblPr/>
      <w:tcPr>
        <w:tcBorders>
          <w:bottom w:val="single" w:sz="12" w:space="0" w:color="FFFFFF" w:themeColor="background1"/>
        </w:tcBorders>
        <w:shd w:val="clear" w:color="auto" w:fill="84467A" w:themeFill="accent2" w:themeFillShade="CC"/>
      </w:tcPr>
    </w:tblStylePr>
    <w:tblStylePr w:type="lastRow">
      <w:rPr>
        <w:b/>
        <w:bCs/>
        <w:color w:val="84467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D5E6" w:themeFill="accent2" w:themeFillTint="3F"/>
      </w:tcPr>
    </w:tblStylePr>
    <w:tblStylePr w:type="band1Horz">
      <w:tblPr/>
      <w:tcPr>
        <w:shd w:val="clear" w:color="auto" w:fill="EDDDEA" w:themeFill="accent2" w:themeFillTint="33"/>
      </w:tcPr>
    </w:tblStylePr>
  </w:style>
  <w:style w:type="table" w:styleId="Listecouleur-Accent3">
    <w:name w:val="Colorful List Accent 3"/>
    <w:basedOn w:val="TableauNormal"/>
    <w:uiPriority w:val="72"/>
    <w:semiHidden/>
    <w:unhideWhenUsed/>
    <w:rsid w:val="00924684"/>
    <w:pPr>
      <w:spacing w:after="0" w:line="240" w:lineRule="auto"/>
    </w:pPr>
    <w:rPr>
      <w:color w:val="000000" w:themeColor="text1"/>
    </w:rPr>
    <w:tblPr>
      <w:tblStyleRowBandSize w:val="1"/>
      <w:tblStyleColBandSize w:val="1"/>
    </w:tblPr>
    <w:tcPr>
      <w:shd w:val="clear" w:color="auto" w:fill="EDF4FA" w:themeFill="accent3" w:themeFillTint="19"/>
    </w:tcPr>
    <w:tblStylePr w:type="firstRow">
      <w:rPr>
        <w:b/>
        <w:bCs/>
        <w:color w:val="FFFFFF" w:themeColor="background1"/>
      </w:rPr>
      <w:tblPr/>
      <w:tcPr>
        <w:tcBorders>
          <w:bottom w:val="single" w:sz="12" w:space="0" w:color="FFFFFF" w:themeColor="background1"/>
        </w:tcBorders>
        <w:shd w:val="clear" w:color="auto" w:fill="25656A" w:themeFill="accent4" w:themeFillShade="CC"/>
      </w:tcPr>
    </w:tblStylePr>
    <w:tblStylePr w:type="lastRow">
      <w:rPr>
        <w:b/>
        <w:bCs/>
        <w:color w:val="25656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5F2" w:themeFill="accent3" w:themeFillTint="3F"/>
      </w:tcPr>
    </w:tblStylePr>
    <w:tblStylePr w:type="band1Horz">
      <w:tblPr/>
      <w:tcPr>
        <w:shd w:val="clear" w:color="auto" w:fill="DBEAF5" w:themeFill="accent3" w:themeFillTint="33"/>
      </w:tcPr>
    </w:tblStylePr>
  </w:style>
  <w:style w:type="table" w:styleId="Listecouleur-Accent4">
    <w:name w:val="Colorful List Accent 4"/>
    <w:basedOn w:val="TableauNormal"/>
    <w:uiPriority w:val="72"/>
    <w:semiHidden/>
    <w:unhideWhenUsed/>
    <w:rsid w:val="00924684"/>
    <w:pPr>
      <w:spacing w:after="0" w:line="240" w:lineRule="auto"/>
    </w:pPr>
    <w:rPr>
      <w:color w:val="000000" w:themeColor="text1"/>
    </w:rPr>
    <w:tblPr>
      <w:tblStyleRowBandSize w:val="1"/>
      <w:tblStyleColBandSize w:val="1"/>
    </w:tblPr>
    <w:tcPr>
      <w:shd w:val="clear" w:color="auto" w:fill="E6F5F6" w:themeFill="accent4" w:themeFillTint="19"/>
    </w:tcPr>
    <w:tblStylePr w:type="firstRow">
      <w:rPr>
        <w:b/>
        <w:bCs/>
        <w:color w:val="FFFFFF" w:themeColor="background1"/>
      </w:rPr>
      <w:tblPr/>
      <w:tcPr>
        <w:tcBorders>
          <w:bottom w:val="single" w:sz="12" w:space="0" w:color="FFFFFF" w:themeColor="background1"/>
        </w:tcBorders>
        <w:shd w:val="clear" w:color="auto" w:fill="307AAF" w:themeFill="accent3" w:themeFillShade="CC"/>
      </w:tcPr>
    </w:tblStylePr>
    <w:tblStylePr w:type="lastRow">
      <w:rPr>
        <w:b/>
        <w:bCs/>
        <w:color w:val="307AAF"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2E7E9" w:themeFill="accent4" w:themeFillTint="3F"/>
      </w:tcPr>
    </w:tblStylePr>
    <w:tblStylePr w:type="band1Horz">
      <w:tblPr/>
      <w:tcPr>
        <w:shd w:val="clear" w:color="auto" w:fill="CEEBED" w:themeFill="accent4" w:themeFillTint="33"/>
      </w:tcPr>
    </w:tblStylePr>
  </w:style>
  <w:style w:type="table" w:styleId="Listecouleur-Accent5">
    <w:name w:val="Colorful List Accent 5"/>
    <w:basedOn w:val="TableauNormal"/>
    <w:uiPriority w:val="72"/>
    <w:semiHidden/>
    <w:unhideWhenUsed/>
    <w:rsid w:val="00924684"/>
    <w:pPr>
      <w:spacing w:after="0" w:line="240" w:lineRule="auto"/>
    </w:pPr>
    <w:rPr>
      <w:color w:val="000000" w:themeColor="text1"/>
    </w:rPr>
    <w:tblPr>
      <w:tblStyleRowBandSize w:val="1"/>
      <w:tblStyleColBandSize w:val="1"/>
    </w:tblPr>
    <w:tcPr>
      <w:shd w:val="clear" w:color="auto" w:fill="FEF8E9" w:themeFill="accent5" w:themeFillTint="19"/>
    </w:tcPr>
    <w:tblStylePr w:type="firstRow">
      <w:rPr>
        <w:b/>
        <w:bCs/>
        <w:color w:val="FFFFFF" w:themeColor="background1"/>
      </w:rPr>
      <w:tblPr/>
      <w:tcPr>
        <w:tcBorders>
          <w:bottom w:val="single" w:sz="12" w:space="0" w:color="FFFFFF" w:themeColor="background1"/>
        </w:tcBorders>
        <w:shd w:val="clear" w:color="auto" w:fill="B82770" w:themeFill="accent6" w:themeFillShade="CC"/>
      </w:tcPr>
    </w:tblStylePr>
    <w:tblStylePr w:type="lastRow">
      <w:rPr>
        <w:b/>
        <w:bCs/>
        <w:color w:val="B82770"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EC7" w:themeFill="accent5" w:themeFillTint="3F"/>
      </w:tcPr>
    </w:tblStylePr>
    <w:tblStylePr w:type="band1Horz">
      <w:tblPr/>
      <w:tcPr>
        <w:shd w:val="clear" w:color="auto" w:fill="FEF1D2" w:themeFill="accent5" w:themeFillTint="33"/>
      </w:tcPr>
    </w:tblStylePr>
  </w:style>
  <w:style w:type="table" w:styleId="Listecouleur-Accent6">
    <w:name w:val="Colorful List Accent 6"/>
    <w:basedOn w:val="TableauNormal"/>
    <w:uiPriority w:val="72"/>
    <w:rsid w:val="00924684"/>
    <w:pPr>
      <w:spacing w:after="0" w:line="240" w:lineRule="auto"/>
    </w:pPr>
    <w:rPr>
      <w:color w:val="000000" w:themeColor="text1"/>
    </w:rPr>
    <w:tblPr>
      <w:tblStyleRowBandSize w:val="1"/>
      <w:tblStyleColBandSize w:val="1"/>
    </w:tblPr>
    <w:tcPr>
      <w:shd w:val="clear" w:color="auto" w:fill="FBECF3" w:themeFill="accent6" w:themeFillTint="19"/>
    </w:tcPr>
    <w:tblStylePr w:type="firstRow">
      <w:rPr>
        <w:b/>
        <w:bCs/>
        <w:color w:val="FFFFFF" w:themeColor="background1"/>
      </w:rPr>
      <w:tblPr/>
      <w:tcPr>
        <w:tcBorders>
          <w:bottom w:val="single" w:sz="12" w:space="0" w:color="FFFFFF" w:themeColor="background1"/>
        </w:tcBorders>
        <w:shd w:val="clear" w:color="auto" w:fill="DD9F05" w:themeFill="accent5" w:themeFillShade="CC"/>
      </w:tcPr>
    </w:tblStylePr>
    <w:tblStylePr w:type="lastRow">
      <w:rPr>
        <w:b/>
        <w:bCs/>
        <w:color w:val="DD9F0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5CFE2" w:themeFill="accent6" w:themeFillTint="3F"/>
      </w:tcPr>
    </w:tblStylePr>
    <w:tblStylePr w:type="band1Horz">
      <w:tblPr/>
      <w:tcPr>
        <w:shd w:val="clear" w:color="auto" w:fill="F7D9E8" w:themeFill="accent6" w:themeFillTint="33"/>
      </w:tcPr>
    </w:tblStylePr>
  </w:style>
  <w:style w:type="table" w:styleId="Tramecouleur">
    <w:name w:val="Colorful Shading"/>
    <w:basedOn w:val="TableauNormal"/>
    <w:uiPriority w:val="71"/>
    <w:semiHidden/>
    <w:unhideWhenUsed/>
    <w:rsid w:val="00924684"/>
    <w:pPr>
      <w:spacing w:after="0" w:line="240" w:lineRule="auto"/>
    </w:pPr>
    <w:rPr>
      <w:color w:val="000000" w:themeColor="text1"/>
    </w:rPr>
    <w:tblPr>
      <w:tblStyleRowBandSize w:val="1"/>
      <w:tblStyleColBandSize w:val="1"/>
      <w:tblBorders>
        <w:top w:val="single" w:sz="24" w:space="0" w:color="A6589A"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A6589A"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Tramecouleur-Accent1">
    <w:name w:val="Colorful Shading Accent 1"/>
    <w:basedOn w:val="TableauNormal"/>
    <w:uiPriority w:val="71"/>
    <w:semiHidden/>
    <w:unhideWhenUsed/>
    <w:rsid w:val="00924684"/>
    <w:pPr>
      <w:spacing w:after="0" w:line="240" w:lineRule="auto"/>
    </w:pPr>
    <w:rPr>
      <w:color w:val="000000" w:themeColor="text1"/>
    </w:rPr>
    <w:tblPr>
      <w:tblStyleRowBandSize w:val="1"/>
      <w:tblStyleColBandSize w:val="1"/>
      <w:tblBorders>
        <w:top w:val="single" w:sz="24" w:space="0" w:color="A6589A" w:themeColor="accent2"/>
        <w:left w:val="single" w:sz="4" w:space="0" w:color="E6443C" w:themeColor="accent1"/>
        <w:bottom w:val="single" w:sz="4" w:space="0" w:color="E6443C" w:themeColor="accent1"/>
        <w:right w:val="single" w:sz="4" w:space="0" w:color="E6443C" w:themeColor="accent1"/>
        <w:insideH w:val="single" w:sz="4" w:space="0" w:color="FFFFFF" w:themeColor="background1"/>
        <w:insideV w:val="single" w:sz="4" w:space="0" w:color="FFFFFF" w:themeColor="background1"/>
      </w:tblBorders>
    </w:tblPr>
    <w:tcPr>
      <w:shd w:val="clear" w:color="auto" w:fill="FCECEB" w:themeFill="accent1" w:themeFillTint="19"/>
    </w:tcPr>
    <w:tblStylePr w:type="firstRow">
      <w:rPr>
        <w:b/>
        <w:bCs/>
      </w:rPr>
      <w:tblPr/>
      <w:tcPr>
        <w:tcBorders>
          <w:top w:val="nil"/>
          <w:left w:val="nil"/>
          <w:bottom w:val="single" w:sz="24" w:space="0" w:color="A6589A"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A1A13" w:themeFill="accent1" w:themeFillShade="99"/>
      </w:tcPr>
    </w:tblStylePr>
    <w:tblStylePr w:type="firstCol">
      <w:rPr>
        <w:color w:val="FFFFFF" w:themeColor="background1"/>
      </w:rPr>
      <w:tblPr/>
      <w:tcPr>
        <w:tcBorders>
          <w:top w:val="nil"/>
          <w:left w:val="nil"/>
          <w:bottom w:val="nil"/>
          <w:right w:val="nil"/>
          <w:insideH w:val="single" w:sz="4" w:space="0" w:color="9A1A13" w:themeColor="accent1" w:themeShade="99"/>
          <w:insideV w:val="nil"/>
        </w:tcBorders>
        <w:shd w:val="clear" w:color="auto" w:fill="9A1A13"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9A1A13" w:themeFill="accent1" w:themeFillShade="99"/>
      </w:tcPr>
    </w:tblStylePr>
    <w:tblStylePr w:type="band1Vert">
      <w:tblPr/>
      <w:tcPr>
        <w:shd w:val="clear" w:color="auto" w:fill="F5B4B1" w:themeFill="accent1" w:themeFillTint="66"/>
      </w:tcPr>
    </w:tblStylePr>
    <w:tblStylePr w:type="band1Horz">
      <w:tblPr/>
      <w:tcPr>
        <w:shd w:val="clear" w:color="auto" w:fill="F2A19D" w:themeFill="accent1" w:themeFillTint="7F"/>
      </w:tcPr>
    </w:tblStylePr>
    <w:tblStylePr w:type="neCell">
      <w:rPr>
        <w:color w:val="000000" w:themeColor="text1"/>
      </w:rPr>
    </w:tblStylePr>
    <w:tblStylePr w:type="nwCell">
      <w:rPr>
        <w:color w:val="000000" w:themeColor="text1"/>
      </w:rPr>
    </w:tblStylePr>
  </w:style>
  <w:style w:type="table" w:styleId="Tramecouleur-Accent2">
    <w:name w:val="Colorful Shading Accent 2"/>
    <w:basedOn w:val="TableauNormal"/>
    <w:uiPriority w:val="71"/>
    <w:semiHidden/>
    <w:unhideWhenUsed/>
    <w:rsid w:val="00924684"/>
    <w:pPr>
      <w:spacing w:after="0" w:line="240" w:lineRule="auto"/>
    </w:pPr>
    <w:rPr>
      <w:color w:val="000000" w:themeColor="text1"/>
    </w:rPr>
    <w:tblPr>
      <w:tblStyleRowBandSize w:val="1"/>
      <w:tblStyleColBandSize w:val="1"/>
      <w:tblBorders>
        <w:top w:val="single" w:sz="24" w:space="0" w:color="A6589A" w:themeColor="accent2"/>
        <w:left w:val="single" w:sz="4" w:space="0" w:color="A6589A" w:themeColor="accent2"/>
        <w:bottom w:val="single" w:sz="4" w:space="0" w:color="A6589A" w:themeColor="accent2"/>
        <w:right w:val="single" w:sz="4" w:space="0" w:color="A6589A" w:themeColor="accent2"/>
        <w:insideH w:val="single" w:sz="4" w:space="0" w:color="FFFFFF" w:themeColor="background1"/>
        <w:insideV w:val="single" w:sz="4" w:space="0" w:color="FFFFFF" w:themeColor="background1"/>
      </w:tblBorders>
    </w:tblPr>
    <w:tcPr>
      <w:shd w:val="clear" w:color="auto" w:fill="F6EEF5" w:themeFill="accent2" w:themeFillTint="19"/>
    </w:tcPr>
    <w:tblStylePr w:type="firstRow">
      <w:rPr>
        <w:b/>
        <w:bCs/>
      </w:rPr>
      <w:tblPr/>
      <w:tcPr>
        <w:tcBorders>
          <w:top w:val="nil"/>
          <w:left w:val="nil"/>
          <w:bottom w:val="single" w:sz="24" w:space="0" w:color="A6589A"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345C" w:themeFill="accent2" w:themeFillShade="99"/>
      </w:tcPr>
    </w:tblStylePr>
    <w:tblStylePr w:type="firstCol">
      <w:rPr>
        <w:color w:val="FFFFFF" w:themeColor="background1"/>
      </w:rPr>
      <w:tblPr/>
      <w:tcPr>
        <w:tcBorders>
          <w:top w:val="nil"/>
          <w:left w:val="nil"/>
          <w:bottom w:val="nil"/>
          <w:right w:val="nil"/>
          <w:insideH w:val="single" w:sz="4" w:space="0" w:color="63345C" w:themeColor="accent2" w:themeShade="99"/>
          <w:insideV w:val="nil"/>
        </w:tcBorders>
        <w:shd w:val="clear" w:color="auto" w:fill="63345C"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63345C" w:themeFill="accent2" w:themeFillShade="99"/>
      </w:tcPr>
    </w:tblStylePr>
    <w:tblStylePr w:type="band1Vert">
      <w:tblPr/>
      <w:tcPr>
        <w:shd w:val="clear" w:color="auto" w:fill="DBBBD6" w:themeFill="accent2" w:themeFillTint="66"/>
      </w:tcPr>
    </w:tblStylePr>
    <w:tblStylePr w:type="band1Horz">
      <w:tblPr/>
      <w:tcPr>
        <w:shd w:val="clear" w:color="auto" w:fill="D2ABCC" w:themeFill="accent2" w:themeFillTint="7F"/>
      </w:tcPr>
    </w:tblStylePr>
    <w:tblStylePr w:type="neCell">
      <w:rPr>
        <w:color w:val="000000" w:themeColor="text1"/>
      </w:rPr>
    </w:tblStylePr>
    <w:tblStylePr w:type="nwCell">
      <w:rPr>
        <w:color w:val="000000" w:themeColor="text1"/>
      </w:rPr>
    </w:tblStylePr>
  </w:style>
  <w:style w:type="table" w:styleId="Tramecouleur-Accent3">
    <w:name w:val="Colorful Shading Accent 3"/>
    <w:basedOn w:val="TableauNormal"/>
    <w:uiPriority w:val="71"/>
    <w:semiHidden/>
    <w:unhideWhenUsed/>
    <w:rsid w:val="00924684"/>
    <w:pPr>
      <w:spacing w:after="0" w:line="240" w:lineRule="auto"/>
    </w:pPr>
    <w:rPr>
      <w:color w:val="000000" w:themeColor="text1"/>
    </w:rPr>
    <w:tblPr>
      <w:tblStyleRowBandSize w:val="1"/>
      <w:tblStyleColBandSize w:val="1"/>
      <w:tblBorders>
        <w:top w:val="single" w:sz="24" w:space="0" w:color="2F7F85" w:themeColor="accent4"/>
        <w:left w:val="single" w:sz="4" w:space="0" w:color="4B97CD" w:themeColor="accent3"/>
        <w:bottom w:val="single" w:sz="4" w:space="0" w:color="4B97CD" w:themeColor="accent3"/>
        <w:right w:val="single" w:sz="4" w:space="0" w:color="4B97CD" w:themeColor="accent3"/>
        <w:insideH w:val="single" w:sz="4" w:space="0" w:color="FFFFFF" w:themeColor="background1"/>
        <w:insideV w:val="single" w:sz="4" w:space="0" w:color="FFFFFF" w:themeColor="background1"/>
      </w:tblBorders>
    </w:tblPr>
    <w:tcPr>
      <w:shd w:val="clear" w:color="auto" w:fill="EDF4FA" w:themeFill="accent3" w:themeFillTint="19"/>
    </w:tcPr>
    <w:tblStylePr w:type="firstRow">
      <w:rPr>
        <w:b/>
        <w:bCs/>
      </w:rPr>
      <w:tblPr/>
      <w:tcPr>
        <w:tcBorders>
          <w:top w:val="nil"/>
          <w:left w:val="nil"/>
          <w:bottom w:val="single" w:sz="24" w:space="0" w:color="2F7F8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45B83" w:themeFill="accent3" w:themeFillShade="99"/>
      </w:tcPr>
    </w:tblStylePr>
    <w:tblStylePr w:type="firstCol">
      <w:rPr>
        <w:color w:val="FFFFFF" w:themeColor="background1"/>
      </w:rPr>
      <w:tblPr/>
      <w:tcPr>
        <w:tcBorders>
          <w:top w:val="nil"/>
          <w:left w:val="nil"/>
          <w:bottom w:val="nil"/>
          <w:right w:val="nil"/>
          <w:insideH w:val="single" w:sz="4" w:space="0" w:color="245B83" w:themeColor="accent3" w:themeShade="99"/>
          <w:insideV w:val="nil"/>
        </w:tcBorders>
        <w:shd w:val="clear" w:color="auto" w:fill="245B8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245B83" w:themeFill="accent3" w:themeFillShade="99"/>
      </w:tcPr>
    </w:tblStylePr>
    <w:tblStylePr w:type="band1Vert">
      <w:tblPr/>
      <w:tcPr>
        <w:shd w:val="clear" w:color="auto" w:fill="B7D5EB" w:themeFill="accent3" w:themeFillTint="66"/>
      </w:tcPr>
    </w:tblStylePr>
    <w:tblStylePr w:type="band1Horz">
      <w:tblPr/>
      <w:tcPr>
        <w:shd w:val="clear" w:color="auto" w:fill="A5CBE6" w:themeFill="accent3" w:themeFillTint="7F"/>
      </w:tcPr>
    </w:tblStylePr>
  </w:style>
  <w:style w:type="table" w:styleId="Tramecouleur-Accent4">
    <w:name w:val="Colorful Shading Accent 4"/>
    <w:basedOn w:val="TableauNormal"/>
    <w:uiPriority w:val="71"/>
    <w:semiHidden/>
    <w:unhideWhenUsed/>
    <w:rsid w:val="00924684"/>
    <w:pPr>
      <w:spacing w:after="0" w:line="240" w:lineRule="auto"/>
    </w:pPr>
    <w:rPr>
      <w:color w:val="000000" w:themeColor="text1"/>
    </w:rPr>
    <w:tblPr>
      <w:tblStyleRowBandSize w:val="1"/>
      <w:tblStyleColBandSize w:val="1"/>
      <w:tblBorders>
        <w:top w:val="single" w:sz="24" w:space="0" w:color="4B97CD" w:themeColor="accent3"/>
        <w:left w:val="single" w:sz="4" w:space="0" w:color="2F7F85" w:themeColor="accent4"/>
        <w:bottom w:val="single" w:sz="4" w:space="0" w:color="2F7F85" w:themeColor="accent4"/>
        <w:right w:val="single" w:sz="4" w:space="0" w:color="2F7F85" w:themeColor="accent4"/>
        <w:insideH w:val="single" w:sz="4" w:space="0" w:color="FFFFFF" w:themeColor="background1"/>
        <w:insideV w:val="single" w:sz="4" w:space="0" w:color="FFFFFF" w:themeColor="background1"/>
      </w:tblBorders>
    </w:tblPr>
    <w:tcPr>
      <w:shd w:val="clear" w:color="auto" w:fill="E6F5F6" w:themeFill="accent4" w:themeFillTint="19"/>
    </w:tcPr>
    <w:tblStylePr w:type="firstRow">
      <w:rPr>
        <w:b/>
        <w:bCs/>
      </w:rPr>
      <w:tblPr/>
      <w:tcPr>
        <w:tcBorders>
          <w:top w:val="nil"/>
          <w:left w:val="nil"/>
          <w:bottom w:val="single" w:sz="24" w:space="0" w:color="4B97CD"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C4C4F" w:themeFill="accent4" w:themeFillShade="99"/>
      </w:tcPr>
    </w:tblStylePr>
    <w:tblStylePr w:type="firstCol">
      <w:rPr>
        <w:color w:val="FFFFFF" w:themeColor="background1"/>
      </w:rPr>
      <w:tblPr/>
      <w:tcPr>
        <w:tcBorders>
          <w:top w:val="nil"/>
          <w:left w:val="nil"/>
          <w:bottom w:val="nil"/>
          <w:right w:val="nil"/>
          <w:insideH w:val="single" w:sz="4" w:space="0" w:color="1C4C4F" w:themeColor="accent4" w:themeShade="99"/>
          <w:insideV w:val="nil"/>
        </w:tcBorders>
        <w:shd w:val="clear" w:color="auto" w:fill="1C4C4F"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1C4C4F" w:themeFill="accent4" w:themeFillShade="99"/>
      </w:tcPr>
    </w:tblStylePr>
    <w:tblStylePr w:type="band1Vert">
      <w:tblPr/>
      <w:tcPr>
        <w:shd w:val="clear" w:color="auto" w:fill="9DD8DC" w:themeFill="accent4" w:themeFillTint="66"/>
      </w:tcPr>
    </w:tblStylePr>
    <w:tblStylePr w:type="band1Horz">
      <w:tblPr/>
      <w:tcPr>
        <w:shd w:val="clear" w:color="auto" w:fill="85CED4" w:themeFill="accent4" w:themeFillTint="7F"/>
      </w:tcPr>
    </w:tblStylePr>
    <w:tblStylePr w:type="neCell">
      <w:rPr>
        <w:color w:val="000000" w:themeColor="text1"/>
      </w:rPr>
    </w:tblStylePr>
    <w:tblStylePr w:type="nwCell">
      <w:rPr>
        <w:color w:val="000000" w:themeColor="text1"/>
      </w:rPr>
    </w:tblStylePr>
  </w:style>
  <w:style w:type="table" w:styleId="Tramecouleur-Accent5">
    <w:name w:val="Colorful Shading Accent 5"/>
    <w:basedOn w:val="TableauNormal"/>
    <w:uiPriority w:val="71"/>
    <w:semiHidden/>
    <w:unhideWhenUsed/>
    <w:rsid w:val="00924684"/>
    <w:pPr>
      <w:spacing w:after="0" w:line="240" w:lineRule="auto"/>
    </w:pPr>
    <w:rPr>
      <w:color w:val="000000" w:themeColor="text1"/>
    </w:rPr>
    <w:tblPr>
      <w:tblStyleRowBandSize w:val="1"/>
      <w:tblStyleColBandSize w:val="1"/>
      <w:tblBorders>
        <w:top w:val="single" w:sz="24" w:space="0" w:color="D7418D" w:themeColor="accent6"/>
        <w:left w:val="single" w:sz="4" w:space="0" w:color="FABC21" w:themeColor="accent5"/>
        <w:bottom w:val="single" w:sz="4" w:space="0" w:color="FABC21" w:themeColor="accent5"/>
        <w:right w:val="single" w:sz="4" w:space="0" w:color="FABC21" w:themeColor="accent5"/>
        <w:insideH w:val="single" w:sz="4" w:space="0" w:color="FFFFFF" w:themeColor="background1"/>
        <w:insideV w:val="single" w:sz="4" w:space="0" w:color="FFFFFF" w:themeColor="background1"/>
      </w:tblBorders>
    </w:tblPr>
    <w:tcPr>
      <w:shd w:val="clear" w:color="auto" w:fill="FEF8E9" w:themeFill="accent5" w:themeFillTint="19"/>
    </w:tcPr>
    <w:tblStylePr w:type="firstRow">
      <w:rPr>
        <w:b/>
        <w:bCs/>
      </w:rPr>
      <w:tblPr/>
      <w:tcPr>
        <w:tcBorders>
          <w:top w:val="nil"/>
          <w:left w:val="nil"/>
          <w:bottom w:val="single" w:sz="24" w:space="0" w:color="D7418D"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A57703" w:themeFill="accent5" w:themeFillShade="99"/>
      </w:tcPr>
    </w:tblStylePr>
    <w:tblStylePr w:type="firstCol">
      <w:rPr>
        <w:color w:val="FFFFFF" w:themeColor="background1"/>
      </w:rPr>
      <w:tblPr/>
      <w:tcPr>
        <w:tcBorders>
          <w:top w:val="nil"/>
          <w:left w:val="nil"/>
          <w:bottom w:val="nil"/>
          <w:right w:val="nil"/>
          <w:insideH w:val="single" w:sz="4" w:space="0" w:color="A57703" w:themeColor="accent5" w:themeShade="99"/>
          <w:insideV w:val="nil"/>
        </w:tcBorders>
        <w:shd w:val="clear" w:color="auto" w:fill="A57703"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A57703" w:themeFill="accent5" w:themeFillShade="99"/>
      </w:tcPr>
    </w:tblStylePr>
    <w:tblStylePr w:type="band1Vert">
      <w:tblPr/>
      <w:tcPr>
        <w:shd w:val="clear" w:color="auto" w:fill="FDE4A6" w:themeFill="accent5" w:themeFillTint="66"/>
      </w:tcPr>
    </w:tblStylePr>
    <w:tblStylePr w:type="band1Horz">
      <w:tblPr/>
      <w:tcPr>
        <w:shd w:val="clear" w:color="auto" w:fill="FCDD90" w:themeFill="accent5" w:themeFillTint="7F"/>
      </w:tcPr>
    </w:tblStylePr>
    <w:tblStylePr w:type="neCell">
      <w:rPr>
        <w:color w:val="000000" w:themeColor="text1"/>
      </w:rPr>
    </w:tblStylePr>
    <w:tblStylePr w:type="nwCell">
      <w:rPr>
        <w:color w:val="000000" w:themeColor="text1"/>
      </w:rPr>
    </w:tblStylePr>
  </w:style>
  <w:style w:type="table" w:styleId="Tramecouleur-Accent6">
    <w:name w:val="Colorful Shading Accent 6"/>
    <w:basedOn w:val="TableauNormal"/>
    <w:uiPriority w:val="71"/>
    <w:rsid w:val="00924684"/>
    <w:pPr>
      <w:spacing w:after="0" w:line="240" w:lineRule="auto"/>
    </w:pPr>
    <w:rPr>
      <w:color w:val="000000" w:themeColor="text1"/>
    </w:rPr>
    <w:tblPr>
      <w:tblStyleRowBandSize w:val="1"/>
      <w:tblStyleColBandSize w:val="1"/>
      <w:tblBorders>
        <w:top w:val="single" w:sz="24" w:space="0" w:color="FABC21" w:themeColor="accent5"/>
        <w:left w:val="single" w:sz="4" w:space="0" w:color="D7418D" w:themeColor="accent6"/>
        <w:bottom w:val="single" w:sz="4" w:space="0" w:color="D7418D" w:themeColor="accent6"/>
        <w:right w:val="single" w:sz="4" w:space="0" w:color="D7418D" w:themeColor="accent6"/>
        <w:insideH w:val="single" w:sz="4" w:space="0" w:color="FFFFFF" w:themeColor="background1"/>
        <w:insideV w:val="single" w:sz="4" w:space="0" w:color="FFFFFF" w:themeColor="background1"/>
      </w:tblBorders>
    </w:tblPr>
    <w:tcPr>
      <w:shd w:val="clear" w:color="auto" w:fill="FBECF3" w:themeFill="accent6" w:themeFillTint="19"/>
    </w:tcPr>
    <w:tblStylePr w:type="firstRow">
      <w:rPr>
        <w:b/>
        <w:bCs/>
      </w:rPr>
      <w:tblPr/>
      <w:tcPr>
        <w:tcBorders>
          <w:top w:val="nil"/>
          <w:left w:val="nil"/>
          <w:bottom w:val="single" w:sz="24" w:space="0" w:color="FABC21"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A1D54" w:themeFill="accent6" w:themeFillShade="99"/>
      </w:tcPr>
    </w:tblStylePr>
    <w:tblStylePr w:type="firstCol">
      <w:rPr>
        <w:color w:val="FFFFFF" w:themeColor="background1"/>
      </w:rPr>
      <w:tblPr/>
      <w:tcPr>
        <w:tcBorders>
          <w:top w:val="nil"/>
          <w:left w:val="nil"/>
          <w:bottom w:val="nil"/>
          <w:right w:val="nil"/>
          <w:insideH w:val="single" w:sz="4" w:space="0" w:color="8A1D54" w:themeColor="accent6" w:themeShade="99"/>
          <w:insideV w:val="nil"/>
        </w:tcBorders>
        <w:shd w:val="clear" w:color="auto" w:fill="8A1D54"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8A1D54" w:themeFill="accent6" w:themeFillShade="99"/>
      </w:tcPr>
    </w:tblStylePr>
    <w:tblStylePr w:type="band1Vert">
      <w:tblPr/>
      <w:tcPr>
        <w:shd w:val="clear" w:color="auto" w:fill="EFB3D1" w:themeFill="accent6" w:themeFillTint="66"/>
      </w:tcPr>
    </w:tblStylePr>
    <w:tblStylePr w:type="band1Horz">
      <w:tblPr/>
      <w:tcPr>
        <w:shd w:val="clear" w:color="auto" w:fill="EBA0C6" w:themeFill="accent6" w:themeFillTint="7F"/>
      </w:tcPr>
    </w:tblStylePr>
    <w:tblStylePr w:type="neCell">
      <w:rPr>
        <w:color w:val="000000" w:themeColor="text1"/>
      </w:rPr>
    </w:tblStylePr>
    <w:tblStylePr w:type="nwCell">
      <w:rPr>
        <w:color w:val="000000" w:themeColor="text1"/>
      </w:rPr>
    </w:tblStylePr>
  </w:style>
  <w:style w:type="table" w:styleId="Listefonce">
    <w:name w:val="Dark List"/>
    <w:basedOn w:val="TableauNormal"/>
    <w:uiPriority w:val="70"/>
    <w:semiHidden/>
    <w:unhideWhenUsed/>
    <w:rsid w:val="0092468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Listefonce-Accent1">
    <w:name w:val="Dark List Accent 1"/>
    <w:basedOn w:val="TableauNormal"/>
    <w:uiPriority w:val="70"/>
    <w:semiHidden/>
    <w:unhideWhenUsed/>
    <w:rsid w:val="00924684"/>
    <w:pPr>
      <w:spacing w:after="0" w:line="240" w:lineRule="auto"/>
    </w:pPr>
    <w:rPr>
      <w:color w:val="FFFFFF" w:themeColor="background1"/>
    </w:rPr>
    <w:tblPr>
      <w:tblStyleRowBandSize w:val="1"/>
      <w:tblStyleColBandSize w:val="1"/>
    </w:tblPr>
    <w:tcPr>
      <w:shd w:val="clear" w:color="auto" w:fill="E6443C"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151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C0201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C02018" w:themeFill="accent1" w:themeFillShade="BF"/>
      </w:tcPr>
    </w:tblStylePr>
    <w:tblStylePr w:type="band1Vert">
      <w:tblPr/>
      <w:tcPr>
        <w:tcBorders>
          <w:top w:val="nil"/>
          <w:left w:val="nil"/>
          <w:bottom w:val="nil"/>
          <w:right w:val="nil"/>
          <w:insideH w:val="nil"/>
          <w:insideV w:val="nil"/>
        </w:tcBorders>
        <w:shd w:val="clear" w:color="auto" w:fill="C02018" w:themeFill="accent1" w:themeFillShade="BF"/>
      </w:tcPr>
    </w:tblStylePr>
    <w:tblStylePr w:type="band1Horz">
      <w:tblPr/>
      <w:tcPr>
        <w:tcBorders>
          <w:top w:val="nil"/>
          <w:left w:val="nil"/>
          <w:bottom w:val="nil"/>
          <w:right w:val="nil"/>
          <w:insideH w:val="nil"/>
          <w:insideV w:val="nil"/>
        </w:tcBorders>
        <w:shd w:val="clear" w:color="auto" w:fill="C02018" w:themeFill="accent1" w:themeFillShade="BF"/>
      </w:tcPr>
    </w:tblStylePr>
  </w:style>
  <w:style w:type="table" w:styleId="Listefonce-Accent2">
    <w:name w:val="Dark List Accent 2"/>
    <w:basedOn w:val="TableauNormal"/>
    <w:uiPriority w:val="70"/>
    <w:semiHidden/>
    <w:unhideWhenUsed/>
    <w:rsid w:val="00924684"/>
    <w:pPr>
      <w:spacing w:after="0" w:line="240" w:lineRule="auto"/>
    </w:pPr>
    <w:rPr>
      <w:color w:val="FFFFFF" w:themeColor="background1"/>
    </w:rPr>
    <w:tblPr>
      <w:tblStyleRowBandSize w:val="1"/>
      <w:tblStyleColBandSize w:val="1"/>
    </w:tblPr>
    <w:tcPr>
      <w:shd w:val="clear" w:color="auto" w:fill="A6589A"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2B4C"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7C4272"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7C4272" w:themeFill="accent2" w:themeFillShade="BF"/>
      </w:tcPr>
    </w:tblStylePr>
    <w:tblStylePr w:type="band1Vert">
      <w:tblPr/>
      <w:tcPr>
        <w:tcBorders>
          <w:top w:val="nil"/>
          <w:left w:val="nil"/>
          <w:bottom w:val="nil"/>
          <w:right w:val="nil"/>
          <w:insideH w:val="nil"/>
          <w:insideV w:val="nil"/>
        </w:tcBorders>
        <w:shd w:val="clear" w:color="auto" w:fill="7C4272" w:themeFill="accent2" w:themeFillShade="BF"/>
      </w:tcPr>
    </w:tblStylePr>
    <w:tblStylePr w:type="band1Horz">
      <w:tblPr/>
      <w:tcPr>
        <w:tcBorders>
          <w:top w:val="nil"/>
          <w:left w:val="nil"/>
          <w:bottom w:val="nil"/>
          <w:right w:val="nil"/>
          <w:insideH w:val="nil"/>
          <w:insideV w:val="nil"/>
        </w:tcBorders>
        <w:shd w:val="clear" w:color="auto" w:fill="7C4272" w:themeFill="accent2" w:themeFillShade="BF"/>
      </w:tcPr>
    </w:tblStylePr>
  </w:style>
  <w:style w:type="table" w:styleId="Listefonce-Accent3">
    <w:name w:val="Dark List Accent 3"/>
    <w:basedOn w:val="TableauNormal"/>
    <w:uiPriority w:val="70"/>
    <w:semiHidden/>
    <w:unhideWhenUsed/>
    <w:rsid w:val="00924684"/>
    <w:pPr>
      <w:spacing w:after="0" w:line="240" w:lineRule="auto"/>
    </w:pPr>
    <w:rPr>
      <w:color w:val="FFFFFF" w:themeColor="background1"/>
    </w:rPr>
    <w:tblPr>
      <w:tblStyleRowBandSize w:val="1"/>
      <w:tblStyleColBandSize w:val="1"/>
    </w:tblPr>
    <w:tcPr>
      <w:shd w:val="clear" w:color="auto" w:fill="4B97CD"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E4C6D"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2D72A4"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2D72A4" w:themeFill="accent3" w:themeFillShade="BF"/>
      </w:tcPr>
    </w:tblStylePr>
    <w:tblStylePr w:type="band1Vert">
      <w:tblPr/>
      <w:tcPr>
        <w:tcBorders>
          <w:top w:val="nil"/>
          <w:left w:val="nil"/>
          <w:bottom w:val="nil"/>
          <w:right w:val="nil"/>
          <w:insideH w:val="nil"/>
          <w:insideV w:val="nil"/>
        </w:tcBorders>
        <w:shd w:val="clear" w:color="auto" w:fill="2D72A4" w:themeFill="accent3" w:themeFillShade="BF"/>
      </w:tcPr>
    </w:tblStylePr>
    <w:tblStylePr w:type="band1Horz">
      <w:tblPr/>
      <w:tcPr>
        <w:tcBorders>
          <w:top w:val="nil"/>
          <w:left w:val="nil"/>
          <w:bottom w:val="nil"/>
          <w:right w:val="nil"/>
          <w:insideH w:val="nil"/>
          <w:insideV w:val="nil"/>
        </w:tcBorders>
        <w:shd w:val="clear" w:color="auto" w:fill="2D72A4" w:themeFill="accent3" w:themeFillShade="BF"/>
      </w:tcPr>
    </w:tblStylePr>
  </w:style>
  <w:style w:type="table" w:styleId="Listefonce-Accent4">
    <w:name w:val="Dark List Accent 4"/>
    <w:basedOn w:val="TableauNormal"/>
    <w:uiPriority w:val="70"/>
    <w:semiHidden/>
    <w:unhideWhenUsed/>
    <w:rsid w:val="00924684"/>
    <w:pPr>
      <w:spacing w:after="0" w:line="240" w:lineRule="auto"/>
    </w:pPr>
    <w:rPr>
      <w:color w:val="FFFFFF" w:themeColor="background1"/>
    </w:rPr>
    <w:tblPr>
      <w:tblStyleRowBandSize w:val="1"/>
      <w:tblStyleColBandSize w:val="1"/>
    </w:tblPr>
    <w:tcPr>
      <w:shd w:val="clear" w:color="auto" w:fill="2F7F8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73E42"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235E63"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235E63" w:themeFill="accent4" w:themeFillShade="BF"/>
      </w:tcPr>
    </w:tblStylePr>
    <w:tblStylePr w:type="band1Vert">
      <w:tblPr/>
      <w:tcPr>
        <w:tcBorders>
          <w:top w:val="nil"/>
          <w:left w:val="nil"/>
          <w:bottom w:val="nil"/>
          <w:right w:val="nil"/>
          <w:insideH w:val="nil"/>
          <w:insideV w:val="nil"/>
        </w:tcBorders>
        <w:shd w:val="clear" w:color="auto" w:fill="235E63" w:themeFill="accent4" w:themeFillShade="BF"/>
      </w:tcPr>
    </w:tblStylePr>
    <w:tblStylePr w:type="band1Horz">
      <w:tblPr/>
      <w:tcPr>
        <w:tcBorders>
          <w:top w:val="nil"/>
          <w:left w:val="nil"/>
          <w:bottom w:val="nil"/>
          <w:right w:val="nil"/>
          <w:insideH w:val="nil"/>
          <w:insideV w:val="nil"/>
        </w:tcBorders>
        <w:shd w:val="clear" w:color="auto" w:fill="235E63" w:themeFill="accent4" w:themeFillShade="BF"/>
      </w:tcPr>
    </w:tblStylePr>
  </w:style>
  <w:style w:type="table" w:styleId="Listefonce-Accent5">
    <w:name w:val="Dark List Accent 5"/>
    <w:basedOn w:val="TableauNormal"/>
    <w:uiPriority w:val="70"/>
    <w:semiHidden/>
    <w:unhideWhenUsed/>
    <w:rsid w:val="00924684"/>
    <w:pPr>
      <w:spacing w:after="0" w:line="240" w:lineRule="auto"/>
    </w:pPr>
    <w:rPr>
      <w:color w:val="FFFFFF" w:themeColor="background1"/>
    </w:rPr>
    <w:tblPr>
      <w:tblStyleRowBandSize w:val="1"/>
      <w:tblStyleColBandSize w:val="1"/>
    </w:tblPr>
    <w:tcPr>
      <w:shd w:val="clear" w:color="auto" w:fill="FABC21"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96303"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CE9504"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CE9504" w:themeFill="accent5" w:themeFillShade="BF"/>
      </w:tcPr>
    </w:tblStylePr>
    <w:tblStylePr w:type="band1Vert">
      <w:tblPr/>
      <w:tcPr>
        <w:tcBorders>
          <w:top w:val="nil"/>
          <w:left w:val="nil"/>
          <w:bottom w:val="nil"/>
          <w:right w:val="nil"/>
          <w:insideH w:val="nil"/>
          <w:insideV w:val="nil"/>
        </w:tcBorders>
        <w:shd w:val="clear" w:color="auto" w:fill="CE9504" w:themeFill="accent5" w:themeFillShade="BF"/>
      </w:tcPr>
    </w:tblStylePr>
    <w:tblStylePr w:type="band1Horz">
      <w:tblPr/>
      <w:tcPr>
        <w:tcBorders>
          <w:top w:val="nil"/>
          <w:left w:val="nil"/>
          <w:bottom w:val="nil"/>
          <w:right w:val="nil"/>
          <w:insideH w:val="nil"/>
          <w:insideV w:val="nil"/>
        </w:tcBorders>
        <w:shd w:val="clear" w:color="auto" w:fill="CE9504" w:themeFill="accent5" w:themeFillShade="BF"/>
      </w:tcPr>
    </w:tblStylePr>
  </w:style>
  <w:style w:type="table" w:styleId="Listefonce-Accent6">
    <w:name w:val="Dark List Accent 6"/>
    <w:basedOn w:val="TableauNormal"/>
    <w:uiPriority w:val="70"/>
    <w:rsid w:val="00924684"/>
    <w:pPr>
      <w:spacing w:after="0" w:line="240" w:lineRule="auto"/>
    </w:pPr>
    <w:rPr>
      <w:color w:val="FFFFFF" w:themeColor="background1"/>
    </w:rPr>
    <w:tblPr>
      <w:tblStyleRowBandSize w:val="1"/>
      <w:tblStyleColBandSize w:val="1"/>
    </w:tblPr>
    <w:tcPr>
      <w:shd w:val="clear" w:color="auto" w:fill="D7418D"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3184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AD2469"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AD2469" w:themeFill="accent6" w:themeFillShade="BF"/>
      </w:tcPr>
    </w:tblStylePr>
    <w:tblStylePr w:type="band1Vert">
      <w:tblPr/>
      <w:tcPr>
        <w:tcBorders>
          <w:top w:val="nil"/>
          <w:left w:val="nil"/>
          <w:bottom w:val="nil"/>
          <w:right w:val="nil"/>
          <w:insideH w:val="nil"/>
          <w:insideV w:val="nil"/>
        </w:tcBorders>
        <w:shd w:val="clear" w:color="auto" w:fill="AD2469" w:themeFill="accent6" w:themeFillShade="BF"/>
      </w:tcPr>
    </w:tblStylePr>
    <w:tblStylePr w:type="band1Horz">
      <w:tblPr/>
      <w:tcPr>
        <w:tcBorders>
          <w:top w:val="nil"/>
          <w:left w:val="nil"/>
          <w:bottom w:val="nil"/>
          <w:right w:val="nil"/>
          <w:insideH w:val="nil"/>
          <w:insideV w:val="nil"/>
        </w:tcBorders>
        <w:shd w:val="clear" w:color="auto" w:fill="AD2469" w:themeFill="accent6" w:themeFillShade="BF"/>
      </w:tcPr>
    </w:tblStylePr>
  </w:style>
  <w:style w:type="paragraph" w:styleId="Explorateurdedocuments">
    <w:name w:val="Document Map"/>
    <w:basedOn w:val="Normal"/>
    <w:link w:val="ExplorateurdedocumentsCar"/>
    <w:uiPriority w:val="49"/>
    <w:semiHidden/>
    <w:rsid w:val="00924684"/>
    <w:pPr>
      <w:spacing w:before="0" w:after="0"/>
    </w:pPr>
    <w:rPr>
      <w:rFonts w:cs="Times New Roman"/>
      <w:sz w:val="16"/>
      <w:szCs w:val="16"/>
    </w:rPr>
  </w:style>
  <w:style w:type="character" w:customStyle="1" w:styleId="ExplorateurdedocumentsCar">
    <w:name w:val="Explorateur de documents Car"/>
    <w:basedOn w:val="Policepardfaut"/>
    <w:link w:val="Explorateurdedocuments"/>
    <w:uiPriority w:val="49"/>
    <w:semiHidden/>
    <w:rsid w:val="00330600"/>
    <w:rPr>
      <w:rFonts w:cs="Times New Roman"/>
      <w:sz w:val="16"/>
      <w:szCs w:val="16"/>
    </w:rPr>
  </w:style>
  <w:style w:type="paragraph" w:styleId="Signaturelectronique">
    <w:name w:val="E-mail Signature"/>
    <w:basedOn w:val="Normal"/>
    <w:link w:val="SignaturelectroniqueCar"/>
    <w:uiPriority w:val="49"/>
    <w:semiHidden/>
    <w:rsid w:val="00924684"/>
    <w:pPr>
      <w:spacing w:before="0" w:after="0"/>
    </w:pPr>
  </w:style>
  <w:style w:type="character" w:customStyle="1" w:styleId="SignaturelectroniqueCar">
    <w:name w:val="Signature électronique Car"/>
    <w:basedOn w:val="Policepardfaut"/>
    <w:link w:val="Signaturelectronique"/>
    <w:uiPriority w:val="49"/>
    <w:semiHidden/>
    <w:rsid w:val="00330600"/>
  </w:style>
  <w:style w:type="character" w:styleId="Accentuation">
    <w:name w:val="Emphasis"/>
    <w:basedOn w:val="Policepardfaut"/>
    <w:uiPriority w:val="49"/>
    <w:semiHidden/>
    <w:qFormat/>
    <w:rsid w:val="00924684"/>
    <w:rPr>
      <w:i/>
      <w:iCs/>
    </w:rPr>
  </w:style>
  <w:style w:type="character" w:styleId="Appeldenotedefin">
    <w:name w:val="endnote reference"/>
    <w:basedOn w:val="Policepardfaut"/>
    <w:uiPriority w:val="49"/>
    <w:semiHidden/>
    <w:rsid w:val="00924684"/>
    <w:rPr>
      <w:vertAlign w:val="superscript"/>
    </w:rPr>
  </w:style>
  <w:style w:type="paragraph" w:styleId="Notedefin">
    <w:name w:val="endnote text"/>
    <w:basedOn w:val="Normal"/>
    <w:link w:val="NotedefinCar"/>
    <w:uiPriority w:val="49"/>
    <w:semiHidden/>
    <w:rsid w:val="00924684"/>
    <w:pPr>
      <w:spacing w:before="0" w:after="0"/>
    </w:pPr>
    <w:rPr>
      <w:sz w:val="20"/>
      <w:szCs w:val="20"/>
    </w:rPr>
  </w:style>
  <w:style w:type="character" w:customStyle="1" w:styleId="NotedefinCar">
    <w:name w:val="Note de fin Car"/>
    <w:basedOn w:val="Policepardfaut"/>
    <w:link w:val="Notedefin"/>
    <w:uiPriority w:val="49"/>
    <w:semiHidden/>
    <w:rsid w:val="00330600"/>
    <w:rPr>
      <w:sz w:val="20"/>
      <w:szCs w:val="20"/>
    </w:rPr>
  </w:style>
  <w:style w:type="paragraph" w:styleId="Adressedestinataire">
    <w:name w:val="envelope address"/>
    <w:basedOn w:val="Normal"/>
    <w:uiPriority w:val="49"/>
    <w:semiHidden/>
    <w:rsid w:val="00924684"/>
    <w:pPr>
      <w:framePr w:w="7920" w:h="1980" w:hRule="exact" w:hSpace="180" w:wrap="auto" w:hAnchor="page" w:xAlign="center" w:yAlign="bottom"/>
      <w:spacing w:before="0" w:after="0"/>
      <w:ind w:left="2880"/>
    </w:pPr>
    <w:rPr>
      <w:rFonts w:asciiTheme="majorHAnsi" w:eastAsiaTheme="majorEastAsia" w:hAnsiTheme="majorHAnsi" w:cstheme="majorBidi"/>
      <w:szCs w:val="24"/>
    </w:rPr>
  </w:style>
  <w:style w:type="paragraph" w:styleId="Adresseexpditeur">
    <w:name w:val="envelope return"/>
    <w:basedOn w:val="Normal"/>
    <w:uiPriority w:val="49"/>
    <w:semiHidden/>
    <w:rsid w:val="00924684"/>
    <w:pPr>
      <w:spacing w:before="0" w:after="0"/>
    </w:pPr>
    <w:rPr>
      <w:rFonts w:asciiTheme="majorHAnsi" w:eastAsiaTheme="majorEastAsia" w:hAnsiTheme="majorHAnsi" w:cstheme="majorBidi"/>
      <w:sz w:val="20"/>
      <w:szCs w:val="20"/>
    </w:rPr>
  </w:style>
  <w:style w:type="table" w:styleId="TableauGrille1Clair">
    <w:name w:val="Grid Table 1 Light"/>
    <w:basedOn w:val="TableauNormal"/>
    <w:uiPriority w:val="46"/>
    <w:rsid w:val="00924684"/>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1Clair-Accentuation1">
    <w:name w:val="Grid Table 1 Light Accent 1"/>
    <w:basedOn w:val="TableauNormal"/>
    <w:uiPriority w:val="46"/>
    <w:rsid w:val="00924684"/>
    <w:pPr>
      <w:spacing w:after="0" w:line="240" w:lineRule="auto"/>
    </w:pPr>
    <w:tblPr>
      <w:tblStyleRowBandSize w:val="1"/>
      <w:tblStyleColBandSize w:val="1"/>
      <w:tblBorders>
        <w:top w:val="single" w:sz="4" w:space="0" w:color="F5B4B1" w:themeColor="accent1" w:themeTint="66"/>
        <w:left w:val="single" w:sz="4" w:space="0" w:color="F5B4B1" w:themeColor="accent1" w:themeTint="66"/>
        <w:bottom w:val="single" w:sz="4" w:space="0" w:color="F5B4B1" w:themeColor="accent1" w:themeTint="66"/>
        <w:right w:val="single" w:sz="4" w:space="0" w:color="F5B4B1" w:themeColor="accent1" w:themeTint="66"/>
        <w:insideH w:val="single" w:sz="4" w:space="0" w:color="F5B4B1" w:themeColor="accent1" w:themeTint="66"/>
        <w:insideV w:val="single" w:sz="4" w:space="0" w:color="F5B4B1" w:themeColor="accent1" w:themeTint="66"/>
      </w:tblBorders>
    </w:tblPr>
    <w:tblStylePr w:type="firstRow">
      <w:rPr>
        <w:b/>
        <w:bCs/>
      </w:rPr>
      <w:tblPr/>
      <w:tcPr>
        <w:tcBorders>
          <w:bottom w:val="single" w:sz="12" w:space="0" w:color="F08E8A" w:themeColor="accent1" w:themeTint="99"/>
        </w:tcBorders>
      </w:tcPr>
    </w:tblStylePr>
    <w:tblStylePr w:type="lastRow">
      <w:rPr>
        <w:b/>
        <w:bCs/>
      </w:rPr>
      <w:tblPr/>
      <w:tcPr>
        <w:tcBorders>
          <w:top w:val="double" w:sz="2" w:space="0" w:color="F08E8A" w:themeColor="accent1" w:themeTint="99"/>
        </w:tcBorders>
      </w:tcPr>
    </w:tblStylePr>
    <w:tblStylePr w:type="firstCol">
      <w:rPr>
        <w:b/>
        <w:bCs/>
      </w:rPr>
    </w:tblStylePr>
    <w:tblStylePr w:type="lastCol">
      <w:rPr>
        <w:b/>
        <w:bCs/>
      </w:rPr>
    </w:tblStylePr>
  </w:style>
  <w:style w:type="table" w:styleId="TableauGrille1Clair-Accentuation2">
    <w:name w:val="Grid Table 1 Light Accent 2"/>
    <w:basedOn w:val="TableauNormal"/>
    <w:uiPriority w:val="46"/>
    <w:rsid w:val="00924684"/>
    <w:pPr>
      <w:spacing w:after="0" w:line="240" w:lineRule="auto"/>
    </w:pPr>
    <w:tblPr>
      <w:tblStyleRowBandSize w:val="1"/>
      <w:tblStyleColBandSize w:val="1"/>
      <w:tblBorders>
        <w:top w:val="single" w:sz="4" w:space="0" w:color="DBBBD6" w:themeColor="accent2" w:themeTint="66"/>
        <w:left w:val="single" w:sz="4" w:space="0" w:color="DBBBD6" w:themeColor="accent2" w:themeTint="66"/>
        <w:bottom w:val="single" w:sz="4" w:space="0" w:color="DBBBD6" w:themeColor="accent2" w:themeTint="66"/>
        <w:right w:val="single" w:sz="4" w:space="0" w:color="DBBBD6" w:themeColor="accent2" w:themeTint="66"/>
        <w:insideH w:val="single" w:sz="4" w:space="0" w:color="DBBBD6" w:themeColor="accent2" w:themeTint="66"/>
        <w:insideV w:val="single" w:sz="4" w:space="0" w:color="DBBBD6" w:themeColor="accent2" w:themeTint="66"/>
      </w:tblBorders>
    </w:tblPr>
    <w:tblStylePr w:type="firstRow">
      <w:rPr>
        <w:b/>
        <w:bCs/>
      </w:rPr>
      <w:tblPr/>
      <w:tcPr>
        <w:tcBorders>
          <w:bottom w:val="single" w:sz="12" w:space="0" w:color="C99AC2" w:themeColor="accent2" w:themeTint="99"/>
        </w:tcBorders>
      </w:tcPr>
    </w:tblStylePr>
    <w:tblStylePr w:type="lastRow">
      <w:rPr>
        <w:b/>
        <w:bCs/>
      </w:rPr>
      <w:tblPr/>
      <w:tcPr>
        <w:tcBorders>
          <w:top w:val="double" w:sz="2" w:space="0" w:color="C99AC2" w:themeColor="accent2"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924684"/>
    <w:pPr>
      <w:spacing w:after="0" w:line="240" w:lineRule="auto"/>
    </w:pPr>
    <w:tblPr>
      <w:tblStyleRowBandSize w:val="1"/>
      <w:tblStyleColBandSize w:val="1"/>
      <w:tblBorders>
        <w:top w:val="single" w:sz="4" w:space="0" w:color="B7D5EB" w:themeColor="accent3" w:themeTint="66"/>
        <w:left w:val="single" w:sz="4" w:space="0" w:color="B7D5EB" w:themeColor="accent3" w:themeTint="66"/>
        <w:bottom w:val="single" w:sz="4" w:space="0" w:color="B7D5EB" w:themeColor="accent3" w:themeTint="66"/>
        <w:right w:val="single" w:sz="4" w:space="0" w:color="B7D5EB" w:themeColor="accent3" w:themeTint="66"/>
        <w:insideH w:val="single" w:sz="4" w:space="0" w:color="B7D5EB" w:themeColor="accent3" w:themeTint="66"/>
        <w:insideV w:val="single" w:sz="4" w:space="0" w:color="B7D5EB" w:themeColor="accent3" w:themeTint="66"/>
      </w:tblBorders>
    </w:tblPr>
    <w:tblStylePr w:type="firstRow">
      <w:rPr>
        <w:b/>
        <w:bCs/>
      </w:rPr>
      <w:tblPr/>
      <w:tcPr>
        <w:tcBorders>
          <w:bottom w:val="single" w:sz="12" w:space="0" w:color="93C0E1" w:themeColor="accent3" w:themeTint="99"/>
        </w:tcBorders>
      </w:tcPr>
    </w:tblStylePr>
    <w:tblStylePr w:type="lastRow">
      <w:rPr>
        <w:b/>
        <w:bCs/>
      </w:rPr>
      <w:tblPr/>
      <w:tcPr>
        <w:tcBorders>
          <w:top w:val="double" w:sz="2" w:space="0" w:color="93C0E1" w:themeColor="accent3" w:themeTint="99"/>
        </w:tcBorders>
      </w:tcPr>
    </w:tblStylePr>
    <w:tblStylePr w:type="firstCol">
      <w:rPr>
        <w:b/>
        <w:bCs/>
      </w:rPr>
    </w:tblStylePr>
    <w:tblStylePr w:type="lastCol">
      <w:rPr>
        <w:b/>
        <w:bCs/>
      </w:rPr>
    </w:tblStylePr>
  </w:style>
  <w:style w:type="table" w:styleId="TableauGrille1Clair-Accentuation4">
    <w:name w:val="Grid Table 1 Light Accent 4"/>
    <w:basedOn w:val="TableauNormal"/>
    <w:uiPriority w:val="46"/>
    <w:rsid w:val="00924684"/>
    <w:pPr>
      <w:spacing w:after="0" w:line="240" w:lineRule="auto"/>
    </w:pPr>
    <w:tblPr>
      <w:tblStyleRowBandSize w:val="1"/>
      <w:tblStyleColBandSize w:val="1"/>
      <w:tblBorders>
        <w:top w:val="single" w:sz="4" w:space="0" w:color="9DD8DC" w:themeColor="accent4" w:themeTint="66"/>
        <w:left w:val="single" w:sz="4" w:space="0" w:color="9DD8DC" w:themeColor="accent4" w:themeTint="66"/>
        <w:bottom w:val="single" w:sz="4" w:space="0" w:color="9DD8DC" w:themeColor="accent4" w:themeTint="66"/>
        <w:right w:val="single" w:sz="4" w:space="0" w:color="9DD8DC" w:themeColor="accent4" w:themeTint="66"/>
        <w:insideH w:val="single" w:sz="4" w:space="0" w:color="9DD8DC" w:themeColor="accent4" w:themeTint="66"/>
        <w:insideV w:val="single" w:sz="4" w:space="0" w:color="9DD8DC" w:themeColor="accent4" w:themeTint="66"/>
      </w:tblBorders>
    </w:tblPr>
    <w:tblStylePr w:type="firstRow">
      <w:rPr>
        <w:b/>
        <w:bCs/>
      </w:rPr>
      <w:tblPr/>
      <w:tcPr>
        <w:tcBorders>
          <w:bottom w:val="single" w:sz="12" w:space="0" w:color="6CC4CB" w:themeColor="accent4" w:themeTint="99"/>
        </w:tcBorders>
      </w:tcPr>
    </w:tblStylePr>
    <w:tblStylePr w:type="lastRow">
      <w:rPr>
        <w:b/>
        <w:bCs/>
      </w:rPr>
      <w:tblPr/>
      <w:tcPr>
        <w:tcBorders>
          <w:top w:val="double" w:sz="2" w:space="0" w:color="6CC4CB" w:themeColor="accent4" w:themeTint="99"/>
        </w:tcBorders>
      </w:tcPr>
    </w:tblStylePr>
    <w:tblStylePr w:type="firstCol">
      <w:rPr>
        <w:b/>
        <w:bCs/>
      </w:rPr>
    </w:tblStylePr>
    <w:tblStylePr w:type="lastCol">
      <w:rPr>
        <w:b/>
        <w:bCs/>
      </w:rPr>
    </w:tblStylePr>
  </w:style>
  <w:style w:type="table" w:styleId="TableauGrille1Clair-Accentuation5">
    <w:name w:val="Grid Table 1 Light Accent 5"/>
    <w:basedOn w:val="TableauNormal"/>
    <w:uiPriority w:val="46"/>
    <w:rsid w:val="00924684"/>
    <w:pPr>
      <w:spacing w:after="0" w:line="240" w:lineRule="auto"/>
    </w:pPr>
    <w:tblPr>
      <w:tblStyleRowBandSize w:val="1"/>
      <w:tblStyleColBandSize w:val="1"/>
      <w:tblBorders>
        <w:top w:val="single" w:sz="4" w:space="0" w:color="FDE4A6" w:themeColor="accent5" w:themeTint="66"/>
        <w:left w:val="single" w:sz="4" w:space="0" w:color="FDE4A6" w:themeColor="accent5" w:themeTint="66"/>
        <w:bottom w:val="single" w:sz="4" w:space="0" w:color="FDE4A6" w:themeColor="accent5" w:themeTint="66"/>
        <w:right w:val="single" w:sz="4" w:space="0" w:color="FDE4A6" w:themeColor="accent5" w:themeTint="66"/>
        <w:insideH w:val="single" w:sz="4" w:space="0" w:color="FDE4A6" w:themeColor="accent5" w:themeTint="66"/>
        <w:insideV w:val="single" w:sz="4" w:space="0" w:color="FDE4A6" w:themeColor="accent5" w:themeTint="66"/>
      </w:tblBorders>
    </w:tblPr>
    <w:tblStylePr w:type="firstRow">
      <w:rPr>
        <w:b/>
        <w:bCs/>
      </w:rPr>
      <w:tblPr/>
      <w:tcPr>
        <w:tcBorders>
          <w:bottom w:val="single" w:sz="12" w:space="0" w:color="FCD679" w:themeColor="accent5" w:themeTint="99"/>
        </w:tcBorders>
      </w:tcPr>
    </w:tblStylePr>
    <w:tblStylePr w:type="lastRow">
      <w:rPr>
        <w:b/>
        <w:bCs/>
      </w:rPr>
      <w:tblPr/>
      <w:tcPr>
        <w:tcBorders>
          <w:top w:val="double" w:sz="2" w:space="0" w:color="FCD679" w:themeColor="accent5" w:themeTint="99"/>
        </w:tcBorders>
      </w:tcPr>
    </w:tblStylePr>
    <w:tblStylePr w:type="firstCol">
      <w:rPr>
        <w:b/>
        <w:bCs/>
      </w:rPr>
    </w:tblStylePr>
    <w:tblStylePr w:type="lastCol">
      <w:rPr>
        <w:b/>
        <w:bCs/>
      </w:rPr>
    </w:tblStylePr>
  </w:style>
  <w:style w:type="table" w:styleId="TableauGrille1Clair-Accentuation6">
    <w:name w:val="Grid Table 1 Light Accent 6"/>
    <w:basedOn w:val="TableauNormal"/>
    <w:uiPriority w:val="46"/>
    <w:rsid w:val="00924684"/>
    <w:pPr>
      <w:spacing w:after="0" w:line="240" w:lineRule="auto"/>
    </w:pPr>
    <w:tblPr>
      <w:tblStyleRowBandSize w:val="1"/>
      <w:tblStyleColBandSize w:val="1"/>
      <w:tblBorders>
        <w:top w:val="single" w:sz="4" w:space="0" w:color="EFB3D1" w:themeColor="accent6" w:themeTint="66"/>
        <w:left w:val="single" w:sz="4" w:space="0" w:color="EFB3D1" w:themeColor="accent6" w:themeTint="66"/>
        <w:bottom w:val="single" w:sz="4" w:space="0" w:color="EFB3D1" w:themeColor="accent6" w:themeTint="66"/>
        <w:right w:val="single" w:sz="4" w:space="0" w:color="EFB3D1" w:themeColor="accent6" w:themeTint="66"/>
        <w:insideH w:val="single" w:sz="4" w:space="0" w:color="EFB3D1" w:themeColor="accent6" w:themeTint="66"/>
        <w:insideV w:val="single" w:sz="4" w:space="0" w:color="EFB3D1" w:themeColor="accent6" w:themeTint="66"/>
      </w:tblBorders>
    </w:tblPr>
    <w:tblStylePr w:type="firstRow">
      <w:rPr>
        <w:b/>
        <w:bCs/>
      </w:rPr>
      <w:tblPr/>
      <w:tcPr>
        <w:tcBorders>
          <w:bottom w:val="single" w:sz="12" w:space="0" w:color="E78DBA" w:themeColor="accent6" w:themeTint="99"/>
        </w:tcBorders>
      </w:tcPr>
    </w:tblStylePr>
    <w:tblStylePr w:type="lastRow">
      <w:rPr>
        <w:b/>
        <w:bCs/>
      </w:rPr>
      <w:tblPr/>
      <w:tcPr>
        <w:tcBorders>
          <w:top w:val="double" w:sz="2" w:space="0" w:color="E78DBA" w:themeColor="accent6" w:themeTint="99"/>
        </w:tcBorders>
      </w:tcPr>
    </w:tblStylePr>
    <w:tblStylePr w:type="firstCol">
      <w:rPr>
        <w:b/>
        <w:bCs/>
      </w:rPr>
    </w:tblStylePr>
    <w:tblStylePr w:type="lastCol">
      <w:rPr>
        <w:b/>
        <w:bCs/>
      </w:rPr>
    </w:tblStylePr>
  </w:style>
  <w:style w:type="table" w:styleId="TableauGrille2">
    <w:name w:val="Grid Table 2"/>
    <w:basedOn w:val="TableauNormal"/>
    <w:uiPriority w:val="47"/>
    <w:rsid w:val="00924684"/>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2-Accentuation1">
    <w:name w:val="Grid Table 2 Accent 1"/>
    <w:basedOn w:val="TableauNormal"/>
    <w:uiPriority w:val="47"/>
    <w:rsid w:val="00924684"/>
    <w:pPr>
      <w:spacing w:after="0" w:line="240" w:lineRule="auto"/>
    </w:pPr>
    <w:tblPr>
      <w:tblStyleRowBandSize w:val="1"/>
      <w:tblStyleColBandSize w:val="1"/>
      <w:tblBorders>
        <w:top w:val="single" w:sz="2" w:space="0" w:color="F08E8A" w:themeColor="accent1" w:themeTint="99"/>
        <w:bottom w:val="single" w:sz="2" w:space="0" w:color="F08E8A" w:themeColor="accent1" w:themeTint="99"/>
        <w:insideH w:val="single" w:sz="2" w:space="0" w:color="F08E8A" w:themeColor="accent1" w:themeTint="99"/>
        <w:insideV w:val="single" w:sz="2" w:space="0" w:color="F08E8A" w:themeColor="accent1" w:themeTint="99"/>
      </w:tblBorders>
    </w:tblPr>
    <w:tblStylePr w:type="firstRow">
      <w:rPr>
        <w:b/>
        <w:bCs/>
      </w:rPr>
      <w:tblPr/>
      <w:tcPr>
        <w:tcBorders>
          <w:top w:val="nil"/>
          <w:bottom w:val="single" w:sz="12" w:space="0" w:color="F08E8A" w:themeColor="accent1" w:themeTint="99"/>
          <w:insideH w:val="nil"/>
          <w:insideV w:val="nil"/>
        </w:tcBorders>
        <w:shd w:val="clear" w:color="auto" w:fill="FFFFFF" w:themeFill="background1"/>
      </w:tcPr>
    </w:tblStylePr>
    <w:tblStylePr w:type="lastRow">
      <w:rPr>
        <w:b/>
        <w:bCs/>
      </w:rPr>
      <w:tblPr/>
      <w:tcPr>
        <w:tcBorders>
          <w:top w:val="double" w:sz="2" w:space="0" w:color="F08E8A"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AD9D8" w:themeFill="accent1" w:themeFillTint="33"/>
      </w:tcPr>
    </w:tblStylePr>
    <w:tblStylePr w:type="band1Horz">
      <w:tblPr/>
      <w:tcPr>
        <w:shd w:val="clear" w:color="auto" w:fill="FAD9D8" w:themeFill="accent1" w:themeFillTint="33"/>
      </w:tcPr>
    </w:tblStylePr>
  </w:style>
  <w:style w:type="table" w:styleId="TableauGrille2-Accentuation2">
    <w:name w:val="Grid Table 2 Accent 2"/>
    <w:basedOn w:val="TableauNormal"/>
    <w:uiPriority w:val="47"/>
    <w:rsid w:val="00924684"/>
    <w:pPr>
      <w:spacing w:after="0" w:line="240" w:lineRule="auto"/>
    </w:pPr>
    <w:tblPr>
      <w:tblStyleRowBandSize w:val="1"/>
      <w:tblStyleColBandSize w:val="1"/>
      <w:tblBorders>
        <w:top w:val="single" w:sz="2" w:space="0" w:color="C99AC2" w:themeColor="accent2" w:themeTint="99"/>
        <w:bottom w:val="single" w:sz="2" w:space="0" w:color="C99AC2" w:themeColor="accent2" w:themeTint="99"/>
        <w:insideH w:val="single" w:sz="2" w:space="0" w:color="C99AC2" w:themeColor="accent2" w:themeTint="99"/>
        <w:insideV w:val="single" w:sz="2" w:space="0" w:color="C99AC2" w:themeColor="accent2" w:themeTint="99"/>
      </w:tblBorders>
    </w:tblPr>
    <w:tblStylePr w:type="firstRow">
      <w:rPr>
        <w:b/>
        <w:bCs/>
      </w:rPr>
      <w:tblPr/>
      <w:tcPr>
        <w:tcBorders>
          <w:top w:val="nil"/>
          <w:bottom w:val="single" w:sz="12" w:space="0" w:color="C99AC2" w:themeColor="accent2" w:themeTint="99"/>
          <w:insideH w:val="nil"/>
          <w:insideV w:val="nil"/>
        </w:tcBorders>
        <w:shd w:val="clear" w:color="auto" w:fill="FFFFFF" w:themeFill="background1"/>
      </w:tcPr>
    </w:tblStylePr>
    <w:tblStylePr w:type="lastRow">
      <w:rPr>
        <w:b/>
        <w:bCs/>
      </w:rPr>
      <w:tblPr/>
      <w:tcPr>
        <w:tcBorders>
          <w:top w:val="double" w:sz="2" w:space="0" w:color="C99AC2"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DDEA" w:themeFill="accent2" w:themeFillTint="33"/>
      </w:tcPr>
    </w:tblStylePr>
    <w:tblStylePr w:type="band1Horz">
      <w:tblPr/>
      <w:tcPr>
        <w:shd w:val="clear" w:color="auto" w:fill="EDDDEA" w:themeFill="accent2" w:themeFillTint="33"/>
      </w:tcPr>
    </w:tblStylePr>
  </w:style>
  <w:style w:type="table" w:styleId="TableauGrille2-Accentuation3">
    <w:name w:val="Grid Table 2 Accent 3"/>
    <w:basedOn w:val="TableauNormal"/>
    <w:uiPriority w:val="47"/>
    <w:rsid w:val="00924684"/>
    <w:pPr>
      <w:spacing w:after="0" w:line="240" w:lineRule="auto"/>
    </w:pPr>
    <w:tblPr>
      <w:tblStyleRowBandSize w:val="1"/>
      <w:tblStyleColBandSize w:val="1"/>
      <w:tblBorders>
        <w:top w:val="single" w:sz="2" w:space="0" w:color="93C0E1" w:themeColor="accent3" w:themeTint="99"/>
        <w:bottom w:val="single" w:sz="2" w:space="0" w:color="93C0E1" w:themeColor="accent3" w:themeTint="99"/>
        <w:insideH w:val="single" w:sz="2" w:space="0" w:color="93C0E1" w:themeColor="accent3" w:themeTint="99"/>
        <w:insideV w:val="single" w:sz="2" w:space="0" w:color="93C0E1" w:themeColor="accent3" w:themeTint="99"/>
      </w:tblBorders>
    </w:tblPr>
    <w:tblStylePr w:type="firstRow">
      <w:rPr>
        <w:b/>
        <w:bCs/>
      </w:rPr>
      <w:tblPr/>
      <w:tcPr>
        <w:tcBorders>
          <w:top w:val="nil"/>
          <w:bottom w:val="single" w:sz="12" w:space="0" w:color="93C0E1" w:themeColor="accent3" w:themeTint="99"/>
          <w:insideH w:val="nil"/>
          <w:insideV w:val="nil"/>
        </w:tcBorders>
        <w:shd w:val="clear" w:color="auto" w:fill="FFFFFF" w:themeFill="background1"/>
      </w:tcPr>
    </w:tblStylePr>
    <w:tblStylePr w:type="lastRow">
      <w:rPr>
        <w:b/>
        <w:bCs/>
      </w:rPr>
      <w:tblPr/>
      <w:tcPr>
        <w:tcBorders>
          <w:top w:val="double" w:sz="2" w:space="0" w:color="93C0E1"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AF5" w:themeFill="accent3" w:themeFillTint="33"/>
      </w:tcPr>
    </w:tblStylePr>
    <w:tblStylePr w:type="band1Horz">
      <w:tblPr/>
      <w:tcPr>
        <w:shd w:val="clear" w:color="auto" w:fill="DBEAF5" w:themeFill="accent3" w:themeFillTint="33"/>
      </w:tcPr>
    </w:tblStylePr>
  </w:style>
  <w:style w:type="table" w:styleId="TableauGrille2-Accentuation4">
    <w:name w:val="Grid Table 2 Accent 4"/>
    <w:basedOn w:val="TableauNormal"/>
    <w:uiPriority w:val="47"/>
    <w:rsid w:val="00924684"/>
    <w:pPr>
      <w:spacing w:after="0" w:line="240" w:lineRule="auto"/>
    </w:pPr>
    <w:tblPr>
      <w:tblStyleRowBandSize w:val="1"/>
      <w:tblStyleColBandSize w:val="1"/>
      <w:tblBorders>
        <w:top w:val="single" w:sz="2" w:space="0" w:color="6CC4CB" w:themeColor="accent4" w:themeTint="99"/>
        <w:bottom w:val="single" w:sz="2" w:space="0" w:color="6CC4CB" w:themeColor="accent4" w:themeTint="99"/>
        <w:insideH w:val="single" w:sz="2" w:space="0" w:color="6CC4CB" w:themeColor="accent4" w:themeTint="99"/>
        <w:insideV w:val="single" w:sz="2" w:space="0" w:color="6CC4CB" w:themeColor="accent4" w:themeTint="99"/>
      </w:tblBorders>
    </w:tblPr>
    <w:tblStylePr w:type="firstRow">
      <w:rPr>
        <w:b/>
        <w:bCs/>
      </w:rPr>
      <w:tblPr/>
      <w:tcPr>
        <w:tcBorders>
          <w:top w:val="nil"/>
          <w:bottom w:val="single" w:sz="12" w:space="0" w:color="6CC4CB" w:themeColor="accent4" w:themeTint="99"/>
          <w:insideH w:val="nil"/>
          <w:insideV w:val="nil"/>
        </w:tcBorders>
        <w:shd w:val="clear" w:color="auto" w:fill="FFFFFF" w:themeFill="background1"/>
      </w:tcPr>
    </w:tblStylePr>
    <w:tblStylePr w:type="lastRow">
      <w:rPr>
        <w:b/>
        <w:bCs/>
      </w:rPr>
      <w:tblPr/>
      <w:tcPr>
        <w:tcBorders>
          <w:top w:val="double" w:sz="2" w:space="0" w:color="6CC4C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EEBED" w:themeFill="accent4" w:themeFillTint="33"/>
      </w:tcPr>
    </w:tblStylePr>
    <w:tblStylePr w:type="band1Horz">
      <w:tblPr/>
      <w:tcPr>
        <w:shd w:val="clear" w:color="auto" w:fill="CEEBED" w:themeFill="accent4" w:themeFillTint="33"/>
      </w:tcPr>
    </w:tblStylePr>
  </w:style>
  <w:style w:type="table" w:styleId="TableauGrille2-Accentuation5">
    <w:name w:val="Grid Table 2 Accent 5"/>
    <w:basedOn w:val="TableauNormal"/>
    <w:uiPriority w:val="47"/>
    <w:rsid w:val="00924684"/>
    <w:pPr>
      <w:spacing w:after="0" w:line="240" w:lineRule="auto"/>
    </w:pPr>
    <w:tblPr>
      <w:tblStyleRowBandSize w:val="1"/>
      <w:tblStyleColBandSize w:val="1"/>
      <w:tblBorders>
        <w:top w:val="single" w:sz="2" w:space="0" w:color="FCD679" w:themeColor="accent5" w:themeTint="99"/>
        <w:bottom w:val="single" w:sz="2" w:space="0" w:color="FCD679" w:themeColor="accent5" w:themeTint="99"/>
        <w:insideH w:val="single" w:sz="2" w:space="0" w:color="FCD679" w:themeColor="accent5" w:themeTint="99"/>
        <w:insideV w:val="single" w:sz="2" w:space="0" w:color="FCD679" w:themeColor="accent5" w:themeTint="99"/>
      </w:tblBorders>
    </w:tblPr>
    <w:tblStylePr w:type="firstRow">
      <w:rPr>
        <w:b/>
        <w:bCs/>
      </w:rPr>
      <w:tblPr/>
      <w:tcPr>
        <w:tcBorders>
          <w:top w:val="nil"/>
          <w:bottom w:val="single" w:sz="12" w:space="0" w:color="FCD679" w:themeColor="accent5" w:themeTint="99"/>
          <w:insideH w:val="nil"/>
          <w:insideV w:val="nil"/>
        </w:tcBorders>
        <w:shd w:val="clear" w:color="auto" w:fill="FFFFFF" w:themeFill="background1"/>
      </w:tcPr>
    </w:tblStylePr>
    <w:tblStylePr w:type="lastRow">
      <w:rPr>
        <w:b/>
        <w:bCs/>
      </w:rPr>
      <w:tblPr/>
      <w:tcPr>
        <w:tcBorders>
          <w:top w:val="double" w:sz="2" w:space="0" w:color="FCD679"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F1D2" w:themeFill="accent5" w:themeFillTint="33"/>
      </w:tcPr>
    </w:tblStylePr>
    <w:tblStylePr w:type="band1Horz">
      <w:tblPr/>
      <w:tcPr>
        <w:shd w:val="clear" w:color="auto" w:fill="FEF1D2" w:themeFill="accent5" w:themeFillTint="33"/>
      </w:tcPr>
    </w:tblStylePr>
  </w:style>
  <w:style w:type="table" w:styleId="TableauGrille2-Accentuation6">
    <w:name w:val="Grid Table 2 Accent 6"/>
    <w:basedOn w:val="TableauNormal"/>
    <w:uiPriority w:val="47"/>
    <w:rsid w:val="00924684"/>
    <w:pPr>
      <w:spacing w:after="0" w:line="240" w:lineRule="auto"/>
    </w:pPr>
    <w:tblPr>
      <w:tblStyleRowBandSize w:val="1"/>
      <w:tblStyleColBandSize w:val="1"/>
      <w:tblBorders>
        <w:top w:val="single" w:sz="2" w:space="0" w:color="E78DBA" w:themeColor="accent6" w:themeTint="99"/>
        <w:bottom w:val="single" w:sz="2" w:space="0" w:color="E78DBA" w:themeColor="accent6" w:themeTint="99"/>
        <w:insideH w:val="single" w:sz="2" w:space="0" w:color="E78DBA" w:themeColor="accent6" w:themeTint="99"/>
        <w:insideV w:val="single" w:sz="2" w:space="0" w:color="E78DBA" w:themeColor="accent6" w:themeTint="99"/>
      </w:tblBorders>
    </w:tblPr>
    <w:tblStylePr w:type="firstRow">
      <w:rPr>
        <w:b/>
        <w:bCs/>
      </w:rPr>
      <w:tblPr/>
      <w:tcPr>
        <w:tcBorders>
          <w:top w:val="nil"/>
          <w:bottom w:val="single" w:sz="12" w:space="0" w:color="E78DBA" w:themeColor="accent6" w:themeTint="99"/>
          <w:insideH w:val="nil"/>
          <w:insideV w:val="nil"/>
        </w:tcBorders>
        <w:shd w:val="clear" w:color="auto" w:fill="FFFFFF" w:themeFill="background1"/>
      </w:tcPr>
    </w:tblStylePr>
    <w:tblStylePr w:type="lastRow">
      <w:rPr>
        <w:b/>
        <w:bCs/>
      </w:rPr>
      <w:tblPr/>
      <w:tcPr>
        <w:tcBorders>
          <w:top w:val="double" w:sz="2" w:space="0" w:color="E78DBA"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7D9E8" w:themeFill="accent6" w:themeFillTint="33"/>
      </w:tcPr>
    </w:tblStylePr>
    <w:tblStylePr w:type="band1Horz">
      <w:tblPr/>
      <w:tcPr>
        <w:shd w:val="clear" w:color="auto" w:fill="F7D9E8" w:themeFill="accent6" w:themeFillTint="33"/>
      </w:tcPr>
    </w:tblStylePr>
  </w:style>
  <w:style w:type="table" w:styleId="TableauGrille3">
    <w:name w:val="Grid Table 3"/>
    <w:basedOn w:val="TableauNormal"/>
    <w:uiPriority w:val="48"/>
    <w:rsid w:val="0092468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auGrille3-Accentuation1">
    <w:name w:val="Grid Table 3 Accent 1"/>
    <w:basedOn w:val="TableauNormal"/>
    <w:uiPriority w:val="48"/>
    <w:rsid w:val="00924684"/>
    <w:pPr>
      <w:spacing w:after="0" w:line="240" w:lineRule="auto"/>
    </w:pPr>
    <w:tblPr>
      <w:tblStyleRowBandSize w:val="1"/>
      <w:tblStyleColBandSize w:val="1"/>
      <w:tblBorders>
        <w:top w:val="single" w:sz="4" w:space="0" w:color="F08E8A" w:themeColor="accent1" w:themeTint="99"/>
        <w:left w:val="single" w:sz="4" w:space="0" w:color="F08E8A" w:themeColor="accent1" w:themeTint="99"/>
        <w:bottom w:val="single" w:sz="4" w:space="0" w:color="F08E8A" w:themeColor="accent1" w:themeTint="99"/>
        <w:right w:val="single" w:sz="4" w:space="0" w:color="F08E8A" w:themeColor="accent1" w:themeTint="99"/>
        <w:insideH w:val="single" w:sz="4" w:space="0" w:color="F08E8A" w:themeColor="accent1" w:themeTint="99"/>
        <w:insideV w:val="single" w:sz="4" w:space="0" w:color="F08E8A"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D9D8" w:themeFill="accent1" w:themeFillTint="33"/>
      </w:tcPr>
    </w:tblStylePr>
    <w:tblStylePr w:type="band1Horz">
      <w:tblPr/>
      <w:tcPr>
        <w:shd w:val="clear" w:color="auto" w:fill="FAD9D8" w:themeFill="accent1" w:themeFillTint="33"/>
      </w:tcPr>
    </w:tblStylePr>
    <w:tblStylePr w:type="neCell">
      <w:tblPr/>
      <w:tcPr>
        <w:tcBorders>
          <w:bottom w:val="single" w:sz="4" w:space="0" w:color="F08E8A" w:themeColor="accent1" w:themeTint="99"/>
        </w:tcBorders>
      </w:tcPr>
    </w:tblStylePr>
    <w:tblStylePr w:type="nwCell">
      <w:tblPr/>
      <w:tcPr>
        <w:tcBorders>
          <w:bottom w:val="single" w:sz="4" w:space="0" w:color="F08E8A" w:themeColor="accent1" w:themeTint="99"/>
        </w:tcBorders>
      </w:tcPr>
    </w:tblStylePr>
    <w:tblStylePr w:type="seCell">
      <w:tblPr/>
      <w:tcPr>
        <w:tcBorders>
          <w:top w:val="single" w:sz="4" w:space="0" w:color="F08E8A" w:themeColor="accent1" w:themeTint="99"/>
        </w:tcBorders>
      </w:tcPr>
    </w:tblStylePr>
    <w:tblStylePr w:type="swCell">
      <w:tblPr/>
      <w:tcPr>
        <w:tcBorders>
          <w:top w:val="single" w:sz="4" w:space="0" w:color="F08E8A" w:themeColor="accent1" w:themeTint="99"/>
        </w:tcBorders>
      </w:tcPr>
    </w:tblStylePr>
  </w:style>
  <w:style w:type="table" w:styleId="TableauGrille3-Accentuation2">
    <w:name w:val="Grid Table 3 Accent 2"/>
    <w:basedOn w:val="TableauNormal"/>
    <w:uiPriority w:val="48"/>
    <w:rsid w:val="00924684"/>
    <w:pPr>
      <w:spacing w:after="0" w:line="240" w:lineRule="auto"/>
    </w:pPr>
    <w:tblPr>
      <w:tblStyleRowBandSize w:val="1"/>
      <w:tblStyleColBandSize w:val="1"/>
      <w:tblBorders>
        <w:top w:val="single" w:sz="4" w:space="0" w:color="C99AC2" w:themeColor="accent2" w:themeTint="99"/>
        <w:left w:val="single" w:sz="4" w:space="0" w:color="C99AC2" w:themeColor="accent2" w:themeTint="99"/>
        <w:bottom w:val="single" w:sz="4" w:space="0" w:color="C99AC2" w:themeColor="accent2" w:themeTint="99"/>
        <w:right w:val="single" w:sz="4" w:space="0" w:color="C99AC2" w:themeColor="accent2" w:themeTint="99"/>
        <w:insideH w:val="single" w:sz="4" w:space="0" w:color="C99AC2" w:themeColor="accent2" w:themeTint="99"/>
        <w:insideV w:val="single" w:sz="4" w:space="0" w:color="C99AC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DDEA" w:themeFill="accent2" w:themeFillTint="33"/>
      </w:tcPr>
    </w:tblStylePr>
    <w:tblStylePr w:type="band1Horz">
      <w:tblPr/>
      <w:tcPr>
        <w:shd w:val="clear" w:color="auto" w:fill="EDDDEA" w:themeFill="accent2" w:themeFillTint="33"/>
      </w:tcPr>
    </w:tblStylePr>
    <w:tblStylePr w:type="neCell">
      <w:tblPr/>
      <w:tcPr>
        <w:tcBorders>
          <w:bottom w:val="single" w:sz="4" w:space="0" w:color="C99AC2" w:themeColor="accent2" w:themeTint="99"/>
        </w:tcBorders>
      </w:tcPr>
    </w:tblStylePr>
    <w:tblStylePr w:type="nwCell">
      <w:tblPr/>
      <w:tcPr>
        <w:tcBorders>
          <w:bottom w:val="single" w:sz="4" w:space="0" w:color="C99AC2" w:themeColor="accent2" w:themeTint="99"/>
        </w:tcBorders>
      </w:tcPr>
    </w:tblStylePr>
    <w:tblStylePr w:type="seCell">
      <w:tblPr/>
      <w:tcPr>
        <w:tcBorders>
          <w:top w:val="single" w:sz="4" w:space="0" w:color="C99AC2" w:themeColor="accent2" w:themeTint="99"/>
        </w:tcBorders>
      </w:tcPr>
    </w:tblStylePr>
    <w:tblStylePr w:type="swCell">
      <w:tblPr/>
      <w:tcPr>
        <w:tcBorders>
          <w:top w:val="single" w:sz="4" w:space="0" w:color="C99AC2" w:themeColor="accent2" w:themeTint="99"/>
        </w:tcBorders>
      </w:tcPr>
    </w:tblStylePr>
  </w:style>
  <w:style w:type="table" w:styleId="TableauGrille3-Accentuation3">
    <w:name w:val="Grid Table 3 Accent 3"/>
    <w:basedOn w:val="TableauNormal"/>
    <w:uiPriority w:val="48"/>
    <w:rsid w:val="00924684"/>
    <w:pPr>
      <w:spacing w:after="0" w:line="240" w:lineRule="auto"/>
    </w:pPr>
    <w:tblPr>
      <w:tblStyleRowBandSize w:val="1"/>
      <w:tblStyleColBandSize w:val="1"/>
      <w:tblBorders>
        <w:top w:val="single" w:sz="4" w:space="0" w:color="93C0E1" w:themeColor="accent3" w:themeTint="99"/>
        <w:left w:val="single" w:sz="4" w:space="0" w:color="93C0E1" w:themeColor="accent3" w:themeTint="99"/>
        <w:bottom w:val="single" w:sz="4" w:space="0" w:color="93C0E1" w:themeColor="accent3" w:themeTint="99"/>
        <w:right w:val="single" w:sz="4" w:space="0" w:color="93C0E1" w:themeColor="accent3" w:themeTint="99"/>
        <w:insideH w:val="single" w:sz="4" w:space="0" w:color="93C0E1" w:themeColor="accent3" w:themeTint="99"/>
        <w:insideV w:val="single" w:sz="4" w:space="0" w:color="93C0E1"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AF5" w:themeFill="accent3" w:themeFillTint="33"/>
      </w:tcPr>
    </w:tblStylePr>
    <w:tblStylePr w:type="band1Horz">
      <w:tblPr/>
      <w:tcPr>
        <w:shd w:val="clear" w:color="auto" w:fill="DBEAF5" w:themeFill="accent3" w:themeFillTint="33"/>
      </w:tcPr>
    </w:tblStylePr>
    <w:tblStylePr w:type="neCell">
      <w:tblPr/>
      <w:tcPr>
        <w:tcBorders>
          <w:bottom w:val="single" w:sz="4" w:space="0" w:color="93C0E1" w:themeColor="accent3" w:themeTint="99"/>
        </w:tcBorders>
      </w:tcPr>
    </w:tblStylePr>
    <w:tblStylePr w:type="nwCell">
      <w:tblPr/>
      <w:tcPr>
        <w:tcBorders>
          <w:bottom w:val="single" w:sz="4" w:space="0" w:color="93C0E1" w:themeColor="accent3" w:themeTint="99"/>
        </w:tcBorders>
      </w:tcPr>
    </w:tblStylePr>
    <w:tblStylePr w:type="seCell">
      <w:tblPr/>
      <w:tcPr>
        <w:tcBorders>
          <w:top w:val="single" w:sz="4" w:space="0" w:color="93C0E1" w:themeColor="accent3" w:themeTint="99"/>
        </w:tcBorders>
      </w:tcPr>
    </w:tblStylePr>
    <w:tblStylePr w:type="swCell">
      <w:tblPr/>
      <w:tcPr>
        <w:tcBorders>
          <w:top w:val="single" w:sz="4" w:space="0" w:color="93C0E1" w:themeColor="accent3" w:themeTint="99"/>
        </w:tcBorders>
      </w:tcPr>
    </w:tblStylePr>
  </w:style>
  <w:style w:type="table" w:styleId="TableauGrille3-Accentuation4">
    <w:name w:val="Grid Table 3 Accent 4"/>
    <w:basedOn w:val="TableauNormal"/>
    <w:uiPriority w:val="48"/>
    <w:rsid w:val="00924684"/>
    <w:pPr>
      <w:spacing w:after="0" w:line="240" w:lineRule="auto"/>
    </w:pPr>
    <w:tblPr>
      <w:tblStyleRowBandSize w:val="1"/>
      <w:tblStyleColBandSize w:val="1"/>
      <w:tblBorders>
        <w:top w:val="single" w:sz="4" w:space="0" w:color="6CC4CB" w:themeColor="accent4" w:themeTint="99"/>
        <w:left w:val="single" w:sz="4" w:space="0" w:color="6CC4CB" w:themeColor="accent4" w:themeTint="99"/>
        <w:bottom w:val="single" w:sz="4" w:space="0" w:color="6CC4CB" w:themeColor="accent4" w:themeTint="99"/>
        <w:right w:val="single" w:sz="4" w:space="0" w:color="6CC4CB" w:themeColor="accent4" w:themeTint="99"/>
        <w:insideH w:val="single" w:sz="4" w:space="0" w:color="6CC4CB" w:themeColor="accent4" w:themeTint="99"/>
        <w:insideV w:val="single" w:sz="4" w:space="0" w:color="6CC4CB"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EEBED" w:themeFill="accent4" w:themeFillTint="33"/>
      </w:tcPr>
    </w:tblStylePr>
    <w:tblStylePr w:type="band1Horz">
      <w:tblPr/>
      <w:tcPr>
        <w:shd w:val="clear" w:color="auto" w:fill="CEEBED" w:themeFill="accent4" w:themeFillTint="33"/>
      </w:tcPr>
    </w:tblStylePr>
    <w:tblStylePr w:type="neCell">
      <w:tblPr/>
      <w:tcPr>
        <w:tcBorders>
          <w:bottom w:val="single" w:sz="4" w:space="0" w:color="6CC4CB" w:themeColor="accent4" w:themeTint="99"/>
        </w:tcBorders>
      </w:tcPr>
    </w:tblStylePr>
    <w:tblStylePr w:type="nwCell">
      <w:tblPr/>
      <w:tcPr>
        <w:tcBorders>
          <w:bottom w:val="single" w:sz="4" w:space="0" w:color="6CC4CB" w:themeColor="accent4" w:themeTint="99"/>
        </w:tcBorders>
      </w:tcPr>
    </w:tblStylePr>
    <w:tblStylePr w:type="seCell">
      <w:tblPr/>
      <w:tcPr>
        <w:tcBorders>
          <w:top w:val="single" w:sz="4" w:space="0" w:color="6CC4CB" w:themeColor="accent4" w:themeTint="99"/>
        </w:tcBorders>
      </w:tcPr>
    </w:tblStylePr>
    <w:tblStylePr w:type="swCell">
      <w:tblPr/>
      <w:tcPr>
        <w:tcBorders>
          <w:top w:val="single" w:sz="4" w:space="0" w:color="6CC4CB" w:themeColor="accent4" w:themeTint="99"/>
        </w:tcBorders>
      </w:tcPr>
    </w:tblStylePr>
  </w:style>
  <w:style w:type="table" w:styleId="TableauGrille3-Accentuation5">
    <w:name w:val="Grid Table 3 Accent 5"/>
    <w:basedOn w:val="TableauNormal"/>
    <w:uiPriority w:val="48"/>
    <w:rsid w:val="00924684"/>
    <w:pPr>
      <w:spacing w:after="0" w:line="240" w:lineRule="auto"/>
    </w:pPr>
    <w:tblPr>
      <w:tblStyleRowBandSize w:val="1"/>
      <w:tblStyleColBandSize w:val="1"/>
      <w:tblBorders>
        <w:top w:val="single" w:sz="4" w:space="0" w:color="FCD679" w:themeColor="accent5" w:themeTint="99"/>
        <w:left w:val="single" w:sz="4" w:space="0" w:color="FCD679" w:themeColor="accent5" w:themeTint="99"/>
        <w:bottom w:val="single" w:sz="4" w:space="0" w:color="FCD679" w:themeColor="accent5" w:themeTint="99"/>
        <w:right w:val="single" w:sz="4" w:space="0" w:color="FCD679" w:themeColor="accent5" w:themeTint="99"/>
        <w:insideH w:val="single" w:sz="4" w:space="0" w:color="FCD679" w:themeColor="accent5" w:themeTint="99"/>
        <w:insideV w:val="single" w:sz="4" w:space="0" w:color="FCD679"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F1D2" w:themeFill="accent5" w:themeFillTint="33"/>
      </w:tcPr>
    </w:tblStylePr>
    <w:tblStylePr w:type="band1Horz">
      <w:tblPr/>
      <w:tcPr>
        <w:shd w:val="clear" w:color="auto" w:fill="FEF1D2" w:themeFill="accent5" w:themeFillTint="33"/>
      </w:tcPr>
    </w:tblStylePr>
    <w:tblStylePr w:type="neCell">
      <w:tblPr/>
      <w:tcPr>
        <w:tcBorders>
          <w:bottom w:val="single" w:sz="4" w:space="0" w:color="FCD679" w:themeColor="accent5" w:themeTint="99"/>
        </w:tcBorders>
      </w:tcPr>
    </w:tblStylePr>
    <w:tblStylePr w:type="nwCell">
      <w:tblPr/>
      <w:tcPr>
        <w:tcBorders>
          <w:bottom w:val="single" w:sz="4" w:space="0" w:color="FCD679" w:themeColor="accent5" w:themeTint="99"/>
        </w:tcBorders>
      </w:tcPr>
    </w:tblStylePr>
    <w:tblStylePr w:type="seCell">
      <w:tblPr/>
      <w:tcPr>
        <w:tcBorders>
          <w:top w:val="single" w:sz="4" w:space="0" w:color="FCD679" w:themeColor="accent5" w:themeTint="99"/>
        </w:tcBorders>
      </w:tcPr>
    </w:tblStylePr>
    <w:tblStylePr w:type="swCell">
      <w:tblPr/>
      <w:tcPr>
        <w:tcBorders>
          <w:top w:val="single" w:sz="4" w:space="0" w:color="FCD679" w:themeColor="accent5" w:themeTint="99"/>
        </w:tcBorders>
      </w:tcPr>
    </w:tblStylePr>
  </w:style>
  <w:style w:type="table" w:styleId="TableauGrille3-Accentuation6">
    <w:name w:val="Grid Table 3 Accent 6"/>
    <w:basedOn w:val="TableauNormal"/>
    <w:uiPriority w:val="48"/>
    <w:rsid w:val="00924684"/>
    <w:pPr>
      <w:spacing w:after="0" w:line="240" w:lineRule="auto"/>
    </w:pPr>
    <w:tblPr>
      <w:tblStyleRowBandSize w:val="1"/>
      <w:tblStyleColBandSize w:val="1"/>
      <w:tblBorders>
        <w:top w:val="single" w:sz="4" w:space="0" w:color="E78DBA" w:themeColor="accent6" w:themeTint="99"/>
        <w:left w:val="single" w:sz="4" w:space="0" w:color="E78DBA" w:themeColor="accent6" w:themeTint="99"/>
        <w:bottom w:val="single" w:sz="4" w:space="0" w:color="E78DBA" w:themeColor="accent6" w:themeTint="99"/>
        <w:right w:val="single" w:sz="4" w:space="0" w:color="E78DBA" w:themeColor="accent6" w:themeTint="99"/>
        <w:insideH w:val="single" w:sz="4" w:space="0" w:color="E78DBA" w:themeColor="accent6" w:themeTint="99"/>
        <w:insideV w:val="single" w:sz="4" w:space="0" w:color="E78DBA"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7D9E8" w:themeFill="accent6" w:themeFillTint="33"/>
      </w:tcPr>
    </w:tblStylePr>
    <w:tblStylePr w:type="band1Horz">
      <w:tblPr/>
      <w:tcPr>
        <w:shd w:val="clear" w:color="auto" w:fill="F7D9E8" w:themeFill="accent6" w:themeFillTint="33"/>
      </w:tcPr>
    </w:tblStylePr>
    <w:tblStylePr w:type="neCell">
      <w:tblPr/>
      <w:tcPr>
        <w:tcBorders>
          <w:bottom w:val="single" w:sz="4" w:space="0" w:color="E78DBA" w:themeColor="accent6" w:themeTint="99"/>
        </w:tcBorders>
      </w:tcPr>
    </w:tblStylePr>
    <w:tblStylePr w:type="nwCell">
      <w:tblPr/>
      <w:tcPr>
        <w:tcBorders>
          <w:bottom w:val="single" w:sz="4" w:space="0" w:color="E78DBA" w:themeColor="accent6" w:themeTint="99"/>
        </w:tcBorders>
      </w:tcPr>
    </w:tblStylePr>
    <w:tblStylePr w:type="seCell">
      <w:tblPr/>
      <w:tcPr>
        <w:tcBorders>
          <w:top w:val="single" w:sz="4" w:space="0" w:color="E78DBA" w:themeColor="accent6" w:themeTint="99"/>
        </w:tcBorders>
      </w:tcPr>
    </w:tblStylePr>
    <w:tblStylePr w:type="swCell">
      <w:tblPr/>
      <w:tcPr>
        <w:tcBorders>
          <w:top w:val="single" w:sz="4" w:space="0" w:color="E78DBA" w:themeColor="accent6" w:themeTint="99"/>
        </w:tcBorders>
      </w:tcPr>
    </w:tblStylePr>
  </w:style>
  <w:style w:type="table" w:styleId="TableauGrille4">
    <w:name w:val="Grid Table 4"/>
    <w:basedOn w:val="TableauNormal"/>
    <w:uiPriority w:val="49"/>
    <w:rsid w:val="0092468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4-Accentuation1">
    <w:name w:val="Grid Table 4 Accent 1"/>
    <w:basedOn w:val="TableauNormal"/>
    <w:uiPriority w:val="49"/>
    <w:rsid w:val="00924684"/>
    <w:pPr>
      <w:spacing w:after="0" w:line="240" w:lineRule="auto"/>
    </w:pPr>
    <w:tblPr>
      <w:tblStyleRowBandSize w:val="1"/>
      <w:tblStyleColBandSize w:val="1"/>
      <w:tblBorders>
        <w:top w:val="single" w:sz="4" w:space="0" w:color="F08E8A" w:themeColor="accent1" w:themeTint="99"/>
        <w:left w:val="single" w:sz="4" w:space="0" w:color="F08E8A" w:themeColor="accent1" w:themeTint="99"/>
        <w:bottom w:val="single" w:sz="4" w:space="0" w:color="F08E8A" w:themeColor="accent1" w:themeTint="99"/>
        <w:right w:val="single" w:sz="4" w:space="0" w:color="F08E8A" w:themeColor="accent1" w:themeTint="99"/>
        <w:insideH w:val="single" w:sz="4" w:space="0" w:color="F08E8A" w:themeColor="accent1" w:themeTint="99"/>
        <w:insideV w:val="single" w:sz="4" w:space="0" w:color="F08E8A" w:themeColor="accent1" w:themeTint="99"/>
      </w:tblBorders>
    </w:tblPr>
    <w:tblStylePr w:type="firstRow">
      <w:rPr>
        <w:b/>
        <w:bCs/>
        <w:color w:val="FFFFFF" w:themeColor="background1"/>
      </w:rPr>
      <w:tblPr/>
      <w:tcPr>
        <w:tcBorders>
          <w:top w:val="single" w:sz="4" w:space="0" w:color="E6443C" w:themeColor="accent1"/>
          <w:left w:val="single" w:sz="4" w:space="0" w:color="E6443C" w:themeColor="accent1"/>
          <w:bottom w:val="single" w:sz="4" w:space="0" w:color="E6443C" w:themeColor="accent1"/>
          <w:right w:val="single" w:sz="4" w:space="0" w:color="E6443C" w:themeColor="accent1"/>
          <w:insideH w:val="nil"/>
          <w:insideV w:val="nil"/>
        </w:tcBorders>
        <w:shd w:val="clear" w:color="auto" w:fill="E6443C" w:themeFill="accent1"/>
      </w:tcPr>
    </w:tblStylePr>
    <w:tblStylePr w:type="lastRow">
      <w:rPr>
        <w:b/>
        <w:bCs/>
      </w:rPr>
      <w:tblPr/>
      <w:tcPr>
        <w:tcBorders>
          <w:top w:val="double" w:sz="4" w:space="0" w:color="E6443C" w:themeColor="accent1"/>
        </w:tcBorders>
      </w:tcPr>
    </w:tblStylePr>
    <w:tblStylePr w:type="firstCol">
      <w:rPr>
        <w:b/>
        <w:bCs/>
      </w:rPr>
    </w:tblStylePr>
    <w:tblStylePr w:type="lastCol">
      <w:rPr>
        <w:b/>
        <w:bCs/>
      </w:rPr>
    </w:tblStylePr>
    <w:tblStylePr w:type="band1Vert">
      <w:tblPr/>
      <w:tcPr>
        <w:shd w:val="clear" w:color="auto" w:fill="FAD9D8" w:themeFill="accent1" w:themeFillTint="33"/>
      </w:tcPr>
    </w:tblStylePr>
    <w:tblStylePr w:type="band1Horz">
      <w:tblPr/>
      <w:tcPr>
        <w:shd w:val="clear" w:color="auto" w:fill="FAD9D8" w:themeFill="accent1" w:themeFillTint="33"/>
      </w:tcPr>
    </w:tblStylePr>
  </w:style>
  <w:style w:type="table" w:styleId="TableauGrille4-Accentuation2">
    <w:name w:val="Grid Table 4 Accent 2"/>
    <w:basedOn w:val="TableauNormal"/>
    <w:uiPriority w:val="49"/>
    <w:rsid w:val="00924684"/>
    <w:pPr>
      <w:spacing w:after="0" w:line="240" w:lineRule="auto"/>
    </w:pPr>
    <w:tblPr>
      <w:tblStyleRowBandSize w:val="1"/>
      <w:tblStyleColBandSize w:val="1"/>
      <w:tblBorders>
        <w:top w:val="single" w:sz="4" w:space="0" w:color="C99AC2" w:themeColor="accent2" w:themeTint="99"/>
        <w:left w:val="single" w:sz="4" w:space="0" w:color="C99AC2" w:themeColor="accent2" w:themeTint="99"/>
        <w:bottom w:val="single" w:sz="4" w:space="0" w:color="C99AC2" w:themeColor="accent2" w:themeTint="99"/>
        <w:right w:val="single" w:sz="4" w:space="0" w:color="C99AC2" w:themeColor="accent2" w:themeTint="99"/>
        <w:insideH w:val="single" w:sz="4" w:space="0" w:color="C99AC2" w:themeColor="accent2" w:themeTint="99"/>
        <w:insideV w:val="single" w:sz="4" w:space="0" w:color="C99AC2" w:themeColor="accent2" w:themeTint="99"/>
      </w:tblBorders>
    </w:tblPr>
    <w:tblStylePr w:type="firstRow">
      <w:rPr>
        <w:b/>
        <w:bCs/>
        <w:color w:val="FFFFFF" w:themeColor="background1"/>
      </w:rPr>
      <w:tblPr/>
      <w:tcPr>
        <w:tcBorders>
          <w:top w:val="single" w:sz="4" w:space="0" w:color="A6589A" w:themeColor="accent2"/>
          <w:left w:val="single" w:sz="4" w:space="0" w:color="A6589A" w:themeColor="accent2"/>
          <w:bottom w:val="single" w:sz="4" w:space="0" w:color="A6589A" w:themeColor="accent2"/>
          <w:right w:val="single" w:sz="4" w:space="0" w:color="A6589A" w:themeColor="accent2"/>
          <w:insideH w:val="nil"/>
          <w:insideV w:val="nil"/>
        </w:tcBorders>
        <w:shd w:val="clear" w:color="auto" w:fill="A6589A" w:themeFill="accent2"/>
      </w:tcPr>
    </w:tblStylePr>
    <w:tblStylePr w:type="lastRow">
      <w:rPr>
        <w:b/>
        <w:bCs/>
      </w:rPr>
      <w:tblPr/>
      <w:tcPr>
        <w:tcBorders>
          <w:top w:val="double" w:sz="4" w:space="0" w:color="A6589A" w:themeColor="accent2"/>
        </w:tcBorders>
      </w:tcPr>
    </w:tblStylePr>
    <w:tblStylePr w:type="firstCol">
      <w:rPr>
        <w:b/>
        <w:bCs/>
      </w:rPr>
    </w:tblStylePr>
    <w:tblStylePr w:type="lastCol">
      <w:rPr>
        <w:b/>
        <w:bCs/>
      </w:rPr>
    </w:tblStylePr>
    <w:tblStylePr w:type="band1Vert">
      <w:tblPr/>
      <w:tcPr>
        <w:shd w:val="clear" w:color="auto" w:fill="EDDDEA" w:themeFill="accent2" w:themeFillTint="33"/>
      </w:tcPr>
    </w:tblStylePr>
    <w:tblStylePr w:type="band1Horz">
      <w:tblPr/>
      <w:tcPr>
        <w:shd w:val="clear" w:color="auto" w:fill="EDDDEA" w:themeFill="accent2" w:themeFillTint="33"/>
      </w:tcPr>
    </w:tblStylePr>
  </w:style>
  <w:style w:type="table" w:styleId="TableauGrille4-Accentuation3">
    <w:name w:val="Grid Table 4 Accent 3"/>
    <w:basedOn w:val="TableauNormal"/>
    <w:uiPriority w:val="49"/>
    <w:rsid w:val="00924684"/>
    <w:pPr>
      <w:spacing w:after="0" w:line="240" w:lineRule="auto"/>
    </w:pPr>
    <w:tblPr>
      <w:tblStyleRowBandSize w:val="1"/>
      <w:tblStyleColBandSize w:val="1"/>
      <w:tblBorders>
        <w:top w:val="single" w:sz="4" w:space="0" w:color="93C0E1" w:themeColor="accent3" w:themeTint="99"/>
        <w:left w:val="single" w:sz="4" w:space="0" w:color="93C0E1" w:themeColor="accent3" w:themeTint="99"/>
        <w:bottom w:val="single" w:sz="4" w:space="0" w:color="93C0E1" w:themeColor="accent3" w:themeTint="99"/>
        <w:right w:val="single" w:sz="4" w:space="0" w:color="93C0E1" w:themeColor="accent3" w:themeTint="99"/>
        <w:insideH w:val="single" w:sz="4" w:space="0" w:color="93C0E1" w:themeColor="accent3" w:themeTint="99"/>
        <w:insideV w:val="single" w:sz="4" w:space="0" w:color="93C0E1" w:themeColor="accent3" w:themeTint="99"/>
      </w:tblBorders>
    </w:tblPr>
    <w:tblStylePr w:type="firstRow">
      <w:rPr>
        <w:b/>
        <w:bCs/>
        <w:color w:val="FFFFFF" w:themeColor="background1"/>
      </w:rPr>
      <w:tblPr/>
      <w:tcPr>
        <w:tcBorders>
          <w:top w:val="single" w:sz="4" w:space="0" w:color="4B97CD" w:themeColor="accent3"/>
          <w:left w:val="single" w:sz="4" w:space="0" w:color="4B97CD" w:themeColor="accent3"/>
          <w:bottom w:val="single" w:sz="4" w:space="0" w:color="4B97CD" w:themeColor="accent3"/>
          <w:right w:val="single" w:sz="4" w:space="0" w:color="4B97CD" w:themeColor="accent3"/>
          <w:insideH w:val="nil"/>
          <w:insideV w:val="nil"/>
        </w:tcBorders>
        <w:shd w:val="clear" w:color="auto" w:fill="4B97CD" w:themeFill="accent3"/>
      </w:tcPr>
    </w:tblStylePr>
    <w:tblStylePr w:type="lastRow">
      <w:rPr>
        <w:b/>
        <w:bCs/>
      </w:rPr>
      <w:tblPr/>
      <w:tcPr>
        <w:tcBorders>
          <w:top w:val="double" w:sz="4" w:space="0" w:color="4B97CD" w:themeColor="accent3"/>
        </w:tcBorders>
      </w:tcPr>
    </w:tblStylePr>
    <w:tblStylePr w:type="firstCol">
      <w:rPr>
        <w:b/>
        <w:bCs/>
      </w:rPr>
    </w:tblStylePr>
    <w:tblStylePr w:type="lastCol">
      <w:rPr>
        <w:b/>
        <w:bCs/>
      </w:rPr>
    </w:tblStylePr>
    <w:tblStylePr w:type="band1Vert">
      <w:tblPr/>
      <w:tcPr>
        <w:shd w:val="clear" w:color="auto" w:fill="DBEAF5" w:themeFill="accent3" w:themeFillTint="33"/>
      </w:tcPr>
    </w:tblStylePr>
    <w:tblStylePr w:type="band1Horz">
      <w:tblPr/>
      <w:tcPr>
        <w:shd w:val="clear" w:color="auto" w:fill="DBEAF5" w:themeFill="accent3" w:themeFillTint="33"/>
      </w:tcPr>
    </w:tblStylePr>
  </w:style>
  <w:style w:type="table" w:styleId="TableauGrille4-Accentuation4">
    <w:name w:val="Grid Table 4 Accent 4"/>
    <w:basedOn w:val="TableauNormal"/>
    <w:uiPriority w:val="49"/>
    <w:rsid w:val="00924684"/>
    <w:pPr>
      <w:spacing w:after="0" w:line="240" w:lineRule="auto"/>
    </w:pPr>
    <w:tblPr>
      <w:tblStyleRowBandSize w:val="1"/>
      <w:tblStyleColBandSize w:val="1"/>
      <w:tblBorders>
        <w:top w:val="single" w:sz="4" w:space="0" w:color="6CC4CB" w:themeColor="accent4" w:themeTint="99"/>
        <w:left w:val="single" w:sz="4" w:space="0" w:color="6CC4CB" w:themeColor="accent4" w:themeTint="99"/>
        <w:bottom w:val="single" w:sz="4" w:space="0" w:color="6CC4CB" w:themeColor="accent4" w:themeTint="99"/>
        <w:right w:val="single" w:sz="4" w:space="0" w:color="6CC4CB" w:themeColor="accent4" w:themeTint="99"/>
        <w:insideH w:val="single" w:sz="4" w:space="0" w:color="6CC4CB" w:themeColor="accent4" w:themeTint="99"/>
        <w:insideV w:val="single" w:sz="4" w:space="0" w:color="6CC4CB" w:themeColor="accent4" w:themeTint="99"/>
      </w:tblBorders>
    </w:tblPr>
    <w:tblStylePr w:type="firstRow">
      <w:rPr>
        <w:b/>
        <w:bCs/>
        <w:color w:val="FFFFFF" w:themeColor="background1"/>
      </w:rPr>
      <w:tblPr/>
      <w:tcPr>
        <w:tcBorders>
          <w:top w:val="single" w:sz="4" w:space="0" w:color="2F7F85" w:themeColor="accent4"/>
          <w:left w:val="single" w:sz="4" w:space="0" w:color="2F7F85" w:themeColor="accent4"/>
          <w:bottom w:val="single" w:sz="4" w:space="0" w:color="2F7F85" w:themeColor="accent4"/>
          <w:right w:val="single" w:sz="4" w:space="0" w:color="2F7F85" w:themeColor="accent4"/>
          <w:insideH w:val="nil"/>
          <w:insideV w:val="nil"/>
        </w:tcBorders>
        <w:shd w:val="clear" w:color="auto" w:fill="2F7F85" w:themeFill="accent4"/>
      </w:tcPr>
    </w:tblStylePr>
    <w:tblStylePr w:type="lastRow">
      <w:rPr>
        <w:b/>
        <w:bCs/>
      </w:rPr>
      <w:tblPr/>
      <w:tcPr>
        <w:tcBorders>
          <w:top w:val="double" w:sz="4" w:space="0" w:color="2F7F85" w:themeColor="accent4"/>
        </w:tcBorders>
      </w:tcPr>
    </w:tblStylePr>
    <w:tblStylePr w:type="firstCol">
      <w:rPr>
        <w:b/>
        <w:bCs/>
      </w:rPr>
    </w:tblStylePr>
    <w:tblStylePr w:type="lastCol">
      <w:rPr>
        <w:b/>
        <w:bCs/>
      </w:rPr>
    </w:tblStylePr>
    <w:tblStylePr w:type="band1Vert">
      <w:tblPr/>
      <w:tcPr>
        <w:shd w:val="clear" w:color="auto" w:fill="CEEBED" w:themeFill="accent4" w:themeFillTint="33"/>
      </w:tcPr>
    </w:tblStylePr>
    <w:tblStylePr w:type="band1Horz">
      <w:tblPr/>
      <w:tcPr>
        <w:shd w:val="clear" w:color="auto" w:fill="CEEBED" w:themeFill="accent4" w:themeFillTint="33"/>
      </w:tcPr>
    </w:tblStylePr>
  </w:style>
  <w:style w:type="table" w:styleId="TableauGrille4-Accentuation5">
    <w:name w:val="Grid Table 4 Accent 5"/>
    <w:basedOn w:val="TableauNormal"/>
    <w:uiPriority w:val="49"/>
    <w:rsid w:val="00924684"/>
    <w:pPr>
      <w:spacing w:after="0" w:line="240" w:lineRule="auto"/>
    </w:pPr>
    <w:tblPr>
      <w:tblStyleRowBandSize w:val="1"/>
      <w:tblStyleColBandSize w:val="1"/>
      <w:tblBorders>
        <w:top w:val="single" w:sz="4" w:space="0" w:color="FCD679" w:themeColor="accent5" w:themeTint="99"/>
        <w:left w:val="single" w:sz="4" w:space="0" w:color="FCD679" w:themeColor="accent5" w:themeTint="99"/>
        <w:bottom w:val="single" w:sz="4" w:space="0" w:color="FCD679" w:themeColor="accent5" w:themeTint="99"/>
        <w:right w:val="single" w:sz="4" w:space="0" w:color="FCD679" w:themeColor="accent5" w:themeTint="99"/>
        <w:insideH w:val="single" w:sz="4" w:space="0" w:color="FCD679" w:themeColor="accent5" w:themeTint="99"/>
        <w:insideV w:val="single" w:sz="4" w:space="0" w:color="FCD679" w:themeColor="accent5" w:themeTint="99"/>
      </w:tblBorders>
    </w:tblPr>
    <w:tblStylePr w:type="firstRow">
      <w:rPr>
        <w:b/>
        <w:bCs/>
        <w:color w:val="FFFFFF" w:themeColor="background1"/>
      </w:rPr>
      <w:tblPr/>
      <w:tcPr>
        <w:tcBorders>
          <w:top w:val="single" w:sz="4" w:space="0" w:color="FABC21" w:themeColor="accent5"/>
          <w:left w:val="single" w:sz="4" w:space="0" w:color="FABC21" w:themeColor="accent5"/>
          <w:bottom w:val="single" w:sz="4" w:space="0" w:color="FABC21" w:themeColor="accent5"/>
          <w:right w:val="single" w:sz="4" w:space="0" w:color="FABC21" w:themeColor="accent5"/>
          <w:insideH w:val="nil"/>
          <w:insideV w:val="nil"/>
        </w:tcBorders>
        <w:shd w:val="clear" w:color="auto" w:fill="FABC21" w:themeFill="accent5"/>
      </w:tcPr>
    </w:tblStylePr>
    <w:tblStylePr w:type="lastRow">
      <w:rPr>
        <w:b/>
        <w:bCs/>
      </w:rPr>
      <w:tblPr/>
      <w:tcPr>
        <w:tcBorders>
          <w:top w:val="double" w:sz="4" w:space="0" w:color="FABC21" w:themeColor="accent5"/>
        </w:tcBorders>
      </w:tcPr>
    </w:tblStylePr>
    <w:tblStylePr w:type="firstCol">
      <w:rPr>
        <w:b/>
        <w:bCs/>
      </w:rPr>
    </w:tblStylePr>
    <w:tblStylePr w:type="lastCol">
      <w:rPr>
        <w:b/>
        <w:bCs/>
      </w:rPr>
    </w:tblStylePr>
    <w:tblStylePr w:type="band1Vert">
      <w:tblPr/>
      <w:tcPr>
        <w:shd w:val="clear" w:color="auto" w:fill="FEF1D2" w:themeFill="accent5" w:themeFillTint="33"/>
      </w:tcPr>
    </w:tblStylePr>
    <w:tblStylePr w:type="band1Horz">
      <w:tblPr/>
      <w:tcPr>
        <w:shd w:val="clear" w:color="auto" w:fill="FEF1D2" w:themeFill="accent5" w:themeFillTint="33"/>
      </w:tcPr>
    </w:tblStylePr>
  </w:style>
  <w:style w:type="table" w:styleId="TableauGrille4-Accentuation6">
    <w:name w:val="Grid Table 4 Accent 6"/>
    <w:basedOn w:val="TableauNormal"/>
    <w:uiPriority w:val="49"/>
    <w:rsid w:val="00924684"/>
    <w:pPr>
      <w:spacing w:after="0" w:line="240" w:lineRule="auto"/>
    </w:pPr>
    <w:tblPr>
      <w:tblStyleRowBandSize w:val="1"/>
      <w:tblStyleColBandSize w:val="1"/>
      <w:tblBorders>
        <w:top w:val="single" w:sz="4" w:space="0" w:color="E78DBA" w:themeColor="accent6" w:themeTint="99"/>
        <w:left w:val="single" w:sz="4" w:space="0" w:color="E78DBA" w:themeColor="accent6" w:themeTint="99"/>
        <w:bottom w:val="single" w:sz="4" w:space="0" w:color="E78DBA" w:themeColor="accent6" w:themeTint="99"/>
        <w:right w:val="single" w:sz="4" w:space="0" w:color="E78DBA" w:themeColor="accent6" w:themeTint="99"/>
        <w:insideH w:val="single" w:sz="4" w:space="0" w:color="E78DBA" w:themeColor="accent6" w:themeTint="99"/>
        <w:insideV w:val="single" w:sz="4" w:space="0" w:color="E78DBA" w:themeColor="accent6" w:themeTint="99"/>
      </w:tblBorders>
    </w:tblPr>
    <w:tblStylePr w:type="firstRow">
      <w:rPr>
        <w:b/>
        <w:bCs/>
        <w:color w:val="FFFFFF" w:themeColor="background1"/>
      </w:rPr>
      <w:tblPr/>
      <w:tcPr>
        <w:tcBorders>
          <w:top w:val="single" w:sz="4" w:space="0" w:color="D7418D" w:themeColor="accent6"/>
          <w:left w:val="single" w:sz="4" w:space="0" w:color="D7418D" w:themeColor="accent6"/>
          <w:bottom w:val="single" w:sz="4" w:space="0" w:color="D7418D" w:themeColor="accent6"/>
          <w:right w:val="single" w:sz="4" w:space="0" w:color="D7418D" w:themeColor="accent6"/>
          <w:insideH w:val="nil"/>
          <w:insideV w:val="nil"/>
        </w:tcBorders>
        <w:shd w:val="clear" w:color="auto" w:fill="D7418D" w:themeFill="accent6"/>
      </w:tcPr>
    </w:tblStylePr>
    <w:tblStylePr w:type="lastRow">
      <w:rPr>
        <w:b/>
        <w:bCs/>
      </w:rPr>
      <w:tblPr/>
      <w:tcPr>
        <w:tcBorders>
          <w:top w:val="double" w:sz="4" w:space="0" w:color="D7418D" w:themeColor="accent6"/>
        </w:tcBorders>
      </w:tcPr>
    </w:tblStylePr>
    <w:tblStylePr w:type="firstCol">
      <w:rPr>
        <w:b/>
        <w:bCs/>
      </w:rPr>
    </w:tblStylePr>
    <w:tblStylePr w:type="lastCol">
      <w:rPr>
        <w:b/>
        <w:bCs/>
      </w:rPr>
    </w:tblStylePr>
    <w:tblStylePr w:type="band1Vert">
      <w:tblPr/>
      <w:tcPr>
        <w:shd w:val="clear" w:color="auto" w:fill="F7D9E8" w:themeFill="accent6" w:themeFillTint="33"/>
      </w:tcPr>
    </w:tblStylePr>
    <w:tblStylePr w:type="band1Horz">
      <w:tblPr/>
      <w:tcPr>
        <w:shd w:val="clear" w:color="auto" w:fill="F7D9E8" w:themeFill="accent6" w:themeFillTint="33"/>
      </w:tcPr>
    </w:tblStylePr>
  </w:style>
  <w:style w:type="table" w:styleId="TableauGrille5Fonc">
    <w:name w:val="Grid Table 5 Dark"/>
    <w:basedOn w:val="TableauNormal"/>
    <w:uiPriority w:val="50"/>
    <w:rsid w:val="009246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eauGrille5Fonc-Accentuation1">
    <w:name w:val="Grid Table 5 Dark Accent 1"/>
    <w:basedOn w:val="TableauNormal"/>
    <w:uiPriority w:val="50"/>
    <w:rsid w:val="009246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D9D8"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6443C"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6443C"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6443C"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6443C" w:themeFill="accent1"/>
      </w:tcPr>
    </w:tblStylePr>
    <w:tblStylePr w:type="band1Vert">
      <w:tblPr/>
      <w:tcPr>
        <w:shd w:val="clear" w:color="auto" w:fill="F5B4B1" w:themeFill="accent1" w:themeFillTint="66"/>
      </w:tcPr>
    </w:tblStylePr>
    <w:tblStylePr w:type="band1Horz">
      <w:tblPr/>
      <w:tcPr>
        <w:shd w:val="clear" w:color="auto" w:fill="F5B4B1" w:themeFill="accent1" w:themeFillTint="66"/>
      </w:tcPr>
    </w:tblStylePr>
  </w:style>
  <w:style w:type="table" w:styleId="TableauGrille5Fonc-Accentuation2">
    <w:name w:val="Grid Table 5 Dark Accent 2"/>
    <w:basedOn w:val="TableauNormal"/>
    <w:uiPriority w:val="50"/>
    <w:rsid w:val="009246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DDE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6589A"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6589A"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6589A"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6589A" w:themeFill="accent2"/>
      </w:tcPr>
    </w:tblStylePr>
    <w:tblStylePr w:type="band1Vert">
      <w:tblPr/>
      <w:tcPr>
        <w:shd w:val="clear" w:color="auto" w:fill="DBBBD6" w:themeFill="accent2" w:themeFillTint="66"/>
      </w:tcPr>
    </w:tblStylePr>
    <w:tblStylePr w:type="band1Horz">
      <w:tblPr/>
      <w:tcPr>
        <w:shd w:val="clear" w:color="auto" w:fill="DBBBD6" w:themeFill="accent2" w:themeFillTint="66"/>
      </w:tcPr>
    </w:tblStylePr>
  </w:style>
  <w:style w:type="table" w:styleId="TableauGrille5Fonc-Accentuation3">
    <w:name w:val="Grid Table 5 Dark Accent 3"/>
    <w:basedOn w:val="TableauNormal"/>
    <w:uiPriority w:val="50"/>
    <w:rsid w:val="009246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AF5"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97C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97C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97C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97CD" w:themeFill="accent3"/>
      </w:tcPr>
    </w:tblStylePr>
    <w:tblStylePr w:type="band1Vert">
      <w:tblPr/>
      <w:tcPr>
        <w:shd w:val="clear" w:color="auto" w:fill="B7D5EB" w:themeFill="accent3" w:themeFillTint="66"/>
      </w:tcPr>
    </w:tblStylePr>
    <w:tblStylePr w:type="band1Horz">
      <w:tblPr/>
      <w:tcPr>
        <w:shd w:val="clear" w:color="auto" w:fill="B7D5EB" w:themeFill="accent3" w:themeFillTint="66"/>
      </w:tcPr>
    </w:tblStylePr>
  </w:style>
  <w:style w:type="table" w:styleId="TableauGrille5Fonc-Accentuation4">
    <w:name w:val="Grid Table 5 Dark Accent 4"/>
    <w:basedOn w:val="TableauNormal"/>
    <w:uiPriority w:val="50"/>
    <w:rsid w:val="009246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EEBED"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F7F8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F7F8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F7F8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F7F85" w:themeFill="accent4"/>
      </w:tcPr>
    </w:tblStylePr>
    <w:tblStylePr w:type="band1Vert">
      <w:tblPr/>
      <w:tcPr>
        <w:shd w:val="clear" w:color="auto" w:fill="9DD8DC" w:themeFill="accent4" w:themeFillTint="66"/>
      </w:tcPr>
    </w:tblStylePr>
    <w:tblStylePr w:type="band1Horz">
      <w:tblPr/>
      <w:tcPr>
        <w:shd w:val="clear" w:color="auto" w:fill="9DD8DC" w:themeFill="accent4" w:themeFillTint="66"/>
      </w:tcPr>
    </w:tblStylePr>
  </w:style>
  <w:style w:type="table" w:styleId="TableauGrille5Fonc-Accentuation5">
    <w:name w:val="Grid Table 5 Dark Accent 5"/>
    <w:basedOn w:val="TableauNormal"/>
    <w:uiPriority w:val="50"/>
    <w:rsid w:val="009246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F1D2"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ABC2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ABC2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ABC2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ABC21" w:themeFill="accent5"/>
      </w:tcPr>
    </w:tblStylePr>
    <w:tblStylePr w:type="band1Vert">
      <w:tblPr/>
      <w:tcPr>
        <w:shd w:val="clear" w:color="auto" w:fill="FDE4A6" w:themeFill="accent5" w:themeFillTint="66"/>
      </w:tcPr>
    </w:tblStylePr>
    <w:tblStylePr w:type="band1Horz">
      <w:tblPr/>
      <w:tcPr>
        <w:shd w:val="clear" w:color="auto" w:fill="FDE4A6" w:themeFill="accent5" w:themeFillTint="66"/>
      </w:tcPr>
    </w:tblStylePr>
  </w:style>
  <w:style w:type="table" w:styleId="TableauGrille5Fonc-Accentuation6">
    <w:name w:val="Grid Table 5 Dark Accent 6"/>
    <w:basedOn w:val="TableauNormal"/>
    <w:uiPriority w:val="50"/>
    <w:rsid w:val="0092468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7D9E8"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D7418D"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D7418D"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D7418D"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D7418D" w:themeFill="accent6"/>
      </w:tcPr>
    </w:tblStylePr>
    <w:tblStylePr w:type="band1Vert">
      <w:tblPr/>
      <w:tcPr>
        <w:shd w:val="clear" w:color="auto" w:fill="EFB3D1" w:themeFill="accent6" w:themeFillTint="66"/>
      </w:tcPr>
    </w:tblStylePr>
    <w:tblStylePr w:type="band1Horz">
      <w:tblPr/>
      <w:tcPr>
        <w:shd w:val="clear" w:color="auto" w:fill="EFB3D1" w:themeFill="accent6" w:themeFillTint="66"/>
      </w:tcPr>
    </w:tblStylePr>
  </w:style>
  <w:style w:type="table" w:styleId="TableauGrille6Couleur">
    <w:name w:val="Grid Table 6 Colorful"/>
    <w:basedOn w:val="TableauNormal"/>
    <w:uiPriority w:val="51"/>
    <w:rsid w:val="00924684"/>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6Couleur-Accentuation1">
    <w:name w:val="Grid Table 6 Colorful Accent 1"/>
    <w:basedOn w:val="TableauNormal"/>
    <w:uiPriority w:val="51"/>
    <w:rsid w:val="00924684"/>
    <w:pPr>
      <w:spacing w:after="0" w:line="240" w:lineRule="auto"/>
    </w:pPr>
    <w:rPr>
      <w:color w:val="C02018" w:themeColor="accent1" w:themeShade="BF"/>
    </w:rPr>
    <w:tblPr>
      <w:tblStyleRowBandSize w:val="1"/>
      <w:tblStyleColBandSize w:val="1"/>
      <w:tblBorders>
        <w:top w:val="single" w:sz="4" w:space="0" w:color="F08E8A" w:themeColor="accent1" w:themeTint="99"/>
        <w:left w:val="single" w:sz="4" w:space="0" w:color="F08E8A" w:themeColor="accent1" w:themeTint="99"/>
        <w:bottom w:val="single" w:sz="4" w:space="0" w:color="F08E8A" w:themeColor="accent1" w:themeTint="99"/>
        <w:right w:val="single" w:sz="4" w:space="0" w:color="F08E8A" w:themeColor="accent1" w:themeTint="99"/>
        <w:insideH w:val="single" w:sz="4" w:space="0" w:color="F08E8A" w:themeColor="accent1" w:themeTint="99"/>
        <w:insideV w:val="single" w:sz="4" w:space="0" w:color="F08E8A" w:themeColor="accent1" w:themeTint="99"/>
      </w:tblBorders>
    </w:tblPr>
    <w:tblStylePr w:type="firstRow">
      <w:rPr>
        <w:b/>
        <w:bCs/>
      </w:rPr>
      <w:tblPr/>
      <w:tcPr>
        <w:tcBorders>
          <w:bottom w:val="single" w:sz="12" w:space="0" w:color="F08E8A" w:themeColor="accent1" w:themeTint="99"/>
        </w:tcBorders>
      </w:tcPr>
    </w:tblStylePr>
    <w:tblStylePr w:type="lastRow">
      <w:rPr>
        <w:b/>
        <w:bCs/>
      </w:rPr>
      <w:tblPr/>
      <w:tcPr>
        <w:tcBorders>
          <w:top w:val="double" w:sz="4" w:space="0" w:color="F08E8A" w:themeColor="accent1" w:themeTint="99"/>
        </w:tcBorders>
      </w:tcPr>
    </w:tblStylePr>
    <w:tblStylePr w:type="firstCol">
      <w:rPr>
        <w:b/>
        <w:bCs/>
      </w:rPr>
    </w:tblStylePr>
    <w:tblStylePr w:type="lastCol">
      <w:rPr>
        <w:b/>
        <w:bCs/>
      </w:rPr>
    </w:tblStylePr>
    <w:tblStylePr w:type="band1Vert">
      <w:tblPr/>
      <w:tcPr>
        <w:shd w:val="clear" w:color="auto" w:fill="FAD9D8" w:themeFill="accent1" w:themeFillTint="33"/>
      </w:tcPr>
    </w:tblStylePr>
    <w:tblStylePr w:type="band1Horz">
      <w:tblPr/>
      <w:tcPr>
        <w:shd w:val="clear" w:color="auto" w:fill="FAD9D8" w:themeFill="accent1" w:themeFillTint="33"/>
      </w:tcPr>
    </w:tblStylePr>
  </w:style>
  <w:style w:type="table" w:styleId="TableauGrille6Couleur-Accentuation2">
    <w:name w:val="Grid Table 6 Colorful Accent 2"/>
    <w:basedOn w:val="TableauNormal"/>
    <w:uiPriority w:val="51"/>
    <w:rsid w:val="00924684"/>
    <w:pPr>
      <w:spacing w:after="0" w:line="240" w:lineRule="auto"/>
    </w:pPr>
    <w:rPr>
      <w:color w:val="7C4272" w:themeColor="accent2" w:themeShade="BF"/>
    </w:rPr>
    <w:tblPr>
      <w:tblStyleRowBandSize w:val="1"/>
      <w:tblStyleColBandSize w:val="1"/>
      <w:tblBorders>
        <w:top w:val="single" w:sz="4" w:space="0" w:color="C99AC2" w:themeColor="accent2" w:themeTint="99"/>
        <w:left w:val="single" w:sz="4" w:space="0" w:color="C99AC2" w:themeColor="accent2" w:themeTint="99"/>
        <w:bottom w:val="single" w:sz="4" w:space="0" w:color="C99AC2" w:themeColor="accent2" w:themeTint="99"/>
        <w:right w:val="single" w:sz="4" w:space="0" w:color="C99AC2" w:themeColor="accent2" w:themeTint="99"/>
        <w:insideH w:val="single" w:sz="4" w:space="0" w:color="C99AC2" w:themeColor="accent2" w:themeTint="99"/>
        <w:insideV w:val="single" w:sz="4" w:space="0" w:color="C99AC2" w:themeColor="accent2" w:themeTint="99"/>
      </w:tblBorders>
    </w:tblPr>
    <w:tblStylePr w:type="firstRow">
      <w:rPr>
        <w:b/>
        <w:bCs/>
      </w:rPr>
      <w:tblPr/>
      <w:tcPr>
        <w:tcBorders>
          <w:bottom w:val="single" w:sz="12" w:space="0" w:color="C99AC2" w:themeColor="accent2" w:themeTint="99"/>
        </w:tcBorders>
      </w:tcPr>
    </w:tblStylePr>
    <w:tblStylePr w:type="lastRow">
      <w:rPr>
        <w:b/>
        <w:bCs/>
      </w:rPr>
      <w:tblPr/>
      <w:tcPr>
        <w:tcBorders>
          <w:top w:val="double" w:sz="4" w:space="0" w:color="C99AC2" w:themeColor="accent2" w:themeTint="99"/>
        </w:tcBorders>
      </w:tcPr>
    </w:tblStylePr>
    <w:tblStylePr w:type="firstCol">
      <w:rPr>
        <w:b/>
        <w:bCs/>
      </w:rPr>
    </w:tblStylePr>
    <w:tblStylePr w:type="lastCol">
      <w:rPr>
        <w:b/>
        <w:bCs/>
      </w:rPr>
    </w:tblStylePr>
    <w:tblStylePr w:type="band1Vert">
      <w:tblPr/>
      <w:tcPr>
        <w:shd w:val="clear" w:color="auto" w:fill="EDDDEA" w:themeFill="accent2" w:themeFillTint="33"/>
      </w:tcPr>
    </w:tblStylePr>
    <w:tblStylePr w:type="band1Horz">
      <w:tblPr/>
      <w:tcPr>
        <w:shd w:val="clear" w:color="auto" w:fill="EDDDEA" w:themeFill="accent2" w:themeFillTint="33"/>
      </w:tcPr>
    </w:tblStylePr>
  </w:style>
  <w:style w:type="table" w:styleId="TableauGrille6Couleur-Accentuation3">
    <w:name w:val="Grid Table 6 Colorful Accent 3"/>
    <w:basedOn w:val="TableauNormal"/>
    <w:uiPriority w:val="51"/>
    <w:rsid w:val="00924684"/>
    <w:pPr>
      <w:spacing w:after="0" w:line="240" w:lineRule="auto"/>
    </w:pPr>
    <w:rPr>
      <w:color w:val="2D72A4" w:themeColor="accent3" w:themeShade="BF"/>
    </w:rPr>
    <w:tblPr>
      <w:tblStyleRowBandSize w:val="1"/>
      <w:tblStyleColBandSize w:val="1"/>
      <w:tblBorders>
        <w:top w:val="single" w:sz="4" w:space="0" w:color="93C0E1" w:themeColor="accent3" w:themeTint="99"/>
        <w:left w:val="single" w:sz="4" w:space="0" w:color="93C0E1" w:themeColor="accent3" w:themeTint="99"/>
        <w:bottom w:val="single" w:sz="4" w:space="0" w:color="93C0E1" w:themeColor="accent3" w:themeTint="99"/>
        <w:right w:val="single" w:sz="4" w:space="0" w:color="93C0E1" w:themeColor="accent3" w:themeTint="99"/>
        <w:insideH w:val="single" w:sz="4" w:space="0" w:color="93C0E1" w:themeColor="accent3" w:themeTint="99"/>
        <w:insideV w:val="single" w:sz="4" w:space="0" w:color="93C0E1" w:themeColor="accent3" w:themeTint="99"/>
      </w:tblBorders>
    </w:tblPr>
    <w:tblStylePr w:type="firstRow">
      <w:rPr>
        <w:b/>
        <w:bCs/>
      </w:rPr>
      <w:tblPr/>
      <w:tcPr>
        <w:tcBorders>
          <w:bottom w:val="single" w:sz="12" w:space="0" w:color="93C0E1" w:themeColor="accent3" w:themeTint="99"/>
        </w:tcBorders>
      </w:tcPr>
    </w:tblStylePr>
    <w:tblStylePr w:type="lastRow">
      <w:rPr>
        <w:b/>
        <w:bCs/>
      </w:rPr>
      <w:tblPr/>
      <w:tcPr>
        <w:tcBorders>
          <w:top w:val="double" w:sz="4" w:space="0" w:color="93C0E1" w:themeColor="accent3" w:themeTint="99"/>
        </w:tcBorders>
      </w:tcPr>
    </w:tblStylePr>
    <w:tblStylePr w:type="firstCol">
      <w:rPr>
        <w:b/>
        <w:bCs/>
      </w:rPr>
    </w:tblStylePr>
    <w:tblStylePr w:type="lastCol">
      <w:rPr>
        <w:b/>
        <w:bCs/>
      </w:rPr>
    </w:tblStylePr>
    <w:tblStylePr w:type="band1Vert">
      <w:tblPr/>
      <w:tcPr>
        <w:shd w:val="clear" w:color="auto" w:fill="DBEAF5" w:themeFill="accent3" w:themeFillTint="33"/>
      </w:tcPr>
    </w:tblStylePr>
    <w:tblStylePr w:type="band1Horz">
      <w:tblPr/>
      <w:tcPr>
        <w:shd w:val="clear" w:color="auto" w:fill="DBEAF5" w:themeFill="accent3" w:themeFillTint="33"/>
      </w:tcPr>
    </w:tblStylePr>
  </w:style>
  <w:style w:type="table" w:styleId="TableauGrille6Couleur-Accentuation4">
    <w:name w:val="Grid Table 6 Colorful Accent 4"/>
    <w:basedOn w:val="TableauNormal"/>
    <w:uiPriority w:val="51"/>
    <w:rsid w:val="00924684"/>
    <w:pPr>
      <w:spacing w:after="0" w:line="240" w:lineRule="auto"/>
    </w:pPr>
    <w:rPr>
      <w:color w:val="235E63" w:themeColor="accent4" w:themeShade="BF"/>
    </w:rPr>
    <w:tblPr>
      <w:tblStyleRowBandSize w:val="1"/>
      <w:tblStyleColBandSize w:val="1"/>
      <w:tblBorders>
        <w:top w:val="single" w:sz="4" w:space="0" w:color="6CC4CB" w:themeColor="accent4" w:themeTint="99"/>
        <w:left w:val="single" w:sz="4" w:space="0" w:color="6CC4CB" w:themeColor="accent4" w:themeTint="99"/>
        <w:bottom w:val="single" w:sz="4" w:space="0" w:color="6CC4CB" w:themeColor="accent4" w:themeTint="99"/>
        <w:right w:val="single" w:sz="4" w:space="0" w:color="6CC4CB" w:themeColor="accent4" w:themeTint="99"/>
        <w:insideH w:val="single" w:sz="4" w:space="0" w:color="6CC4CB" w:themeColor="accent4" w:themeTint="99"/>
        <w:insideV w:val="single" w:sz="4" w:space="0" w:color="6CC4CB" w:themeColor="accent4" w:themeTint="99"/>
      </w:tblBorders>
    </w:tblPr>
    <w:tblStylePr w:type="firstRow">
      <w:rPr>
        <w:b/>
        <w:bCs/>
      </w:rPr>
      <w:tblPr/>
      <w:tcPr>
        <w:tcBorders>
          <w:bottom w:val="single" w:sz="12" w:space="0" w:color="6CC4CB" w:themeColor="accent4" w:themeTint="99"/>
        </w:tcBorders>
      </w:tcPr>
    </w:tblStylePr>
    <w:tblStylePr w:type="lastRow">
      <w:rPr>
        <w:b/>
        <w:bCs/>
      </w:rPr>
      <w:tblPr/>
      <w:tcPr>
        <w:tcBorders>
          <w:top w:val="double" w:sz="4" w:space="0" w:color="6CC4CB" w:themeColor="accent4" w:themeTint="99"/>
        </w:tcBorders>
      </w:tcPr>
    </w:tblStylePr>
    <w:tblStylePr w:type="firstCol">
      <w:rPr>
        <w:b/>
        <w:bCs/>
      </w:rPr>
    </w:tblStylePr>
    <w:tblStylePr w:type="lastCol">
      <w:rPr>
        <w:b/>
        <w:bCs/>
      </w:rPr>
    </w:tblStylePr>
    <w:tblStylePr w:type="band1Vert">
      <w:tblPr/>
      <w:tcPr>
        <w:shd w:val="clear" w:color="auto" w:fill="CEEBED" w:themeFill="accent4" w:themeFillTint="33"/>
      </w:tcPr>
    </w:tblStylePr>
    <w:tblStylePr w:type="band1Horz">
      <w:tblPr/>
      <w:tcPr>
        <w:shd w:val="clear" w:color="auto" w:fill="CEEBED" w:themeFill="accent4" w:themeFillTint="33"/>
      </w:tcPr>
    </w:tblStylePr>
  </w:style>
  <w:style w:type="table" w:styleId="TableauGrille6Couleur-Accentuation5">
    <w:name w:val="Grid Table 6 Colorful Accent 5"/>
    <w:basedOn w:val="TableauNormal"/>
    <w:uiPriority w:val="51"/>
    <w:rsid w:val="00924684"/>
    <w:pPr>
      <w:spacing w:after="0" w:line="240" w:lineRule="auto"/>
    </w:pPr>
    <w:rPr>
      <w:color w:val="CE9504" w:themeColor="accent5" w:themeShade="BF"/>
    </w:rPr>
    <w:tblPr>
      <w:tblStyleRowBandSize w:val="1"/>
      <w:tblStyleColBandSize w:val="1"/>
      <w:tblBorders>
        <w:top w:val="single" w:sz="4" w:space="0" w:color="FCD679" w:themeColor="accent5" w:themeTint="99"/>
        <w:left w:val="single" w:sz="4" w:space="0" w:color="FCD679" w:themeColor="accent5" w:themeTint="99"/>
        <w:bottom w:val="single" w:sz="4" w:space="0" w:color="FCD679" w:themeColor="accent5" w:themeTint="99"/>
        <w:right w:val="single" w:sz="4" w:space="0" w:color="FCD679" w:themeColor="accent5" w:themeTint="99"/>
        <w:insideH w:val="single" w:sz="4" w:space="0" w:color="FCD679" w:themeColor="accent5" w:themeTint="99"/>
        <w:insideV w:val="single" w:sz="4" w:space="0" w:color="FCD679" w:themeColor="accent5" w:themeTint="99"/>
      </w:tblBorders>
    </w:tblPr>
    <w:tblStylePr w:type="firstRow">
      <w:rPr>
        <w:b/>
        <w:bCs/>
      </w:rPr>
      <w:tblPr/>
      <w:tcPr>
        <w:tcBorders>
          <w:bottom w:val="single" w:sz="12" w:space="0" w:color="FCD679" w:themeColor="accent5" w:themeTint="99"/>
        </w:tcBorders>
      </w:tcPr>
    </w:tblStylePr>
    <w:tblStylePr w:type="lastRow">
      <w:rPr>
        <w:b/>
        <w:bCs/>
      </w:rPr>
      <w:tblPr/>
      <w:tcPr>
        <w:tcBorders>
          <w:top w:val="double" w:sz="4" w:space="0" w:color="FCD679" w:themeColor="accent5" w:themeTint="99"/>
        </w:tcBorders>
      </w:tcPr>
    </w:tblStylePr>
    <w:tblStylePr w:type="firstCol">
      <w:rPr>
        <w:b/>
        <w:bCs/>
      </w:rPr>
    </w:tblStylePr>
    <w:tblStylePr w:type="lastCol">
      <w:rPr>
        <w:b/>
        <w:bCs/>
      </w:rPr>
    </w:tblStylePr>
    <w:tblStylePr w:type="band1Vert">
      <w:tblPr/>
      <w:tcPr>
        <w:shd w:val="clear" w:color="auto" w:fill="FEF1D2" w:themeFill="accent5" w:themeFillTint="33"/>
      </w:tcPr>
    </w:tblStylePr>
    <w:tblStylePr w:type="band1Horz">
      <w:tblPr/>
      <w:tcPr>
        <w:shd w:val="clear" w:color="auto" w:fill="FEF1D2" w:themeFill="accent5" w:themeFillTint="33"/>
      </w:tcPr>
    </w:tblStylePr>
  </w:style>
  <w:style w:type="table" w:styleId="TableauGrille6Couleur-Accentuation6">
    <w:name w:val="Grid Table 6 Colorful Accent 6"/>
    <w:basedOn w:val="TableauNormal"/>
    <w:uiPriority w:val="51"/>
    <w:rsid w:val="00924684"/>
    <w:pPr>
      <w:spacing w:after="0" w:line="240" w:lineRule="auto"/>
    </w:pPr>
    <w:rPr>
      <w:color w:val="AD2469" w:themeColor="accent6" w:themeShade="BF"/>
    </w:rPr>
    <w:tblPr>
      <w:tblStyleRowBandSize w:val="1"/>
      <w:tblStyleColBandSize w:val="1"/>
      <w:tblBorders>
        <w:top w:val="single" w:sz="4" w:space="0" w:color="E78DBA" w:themeColor="accent6" w:themeTint="99"/>
        <w:left w:val="single" w:sz="4" w:space="0" w:color="E78DBA" w:themeColor="accent6" w:themeTint="99"/>
        <w:bottom w:val="single" w:sz="4" w:space="0" w:color="E78DBA" w:themeColor="accent6" w:themeTint="99"/>
        <w:right w:val="single" w:sz="4" w:space="0" w:color="E78DBA" w:themeColor="accent6" w:themeTint="99"/>
        <w:insideH w:val="single" w:sz="4" w:space="0" w:color="E78DBA" w:themeColor="accent6" w:themeTint="99"/>
        <w:insideV w:val="single" w:sz="4" w:space="0" w:color="E78DBA" w:themeColor="accent6" w:themeTint="99"/>
      </w:tblBorders>
    </w:tblPr>
    <w:tblStylePr w:type="firstRow">
      <w:rPr>
        <w:b/>
        <w:bCs/>
      </w:rPr>
      <w:tblPr/>
      <w:tcPr>
        <w:tcBorders>
          <w:bottom w:val="single" w:sz="12" w:space="0" w:color="E78DBA" w:themeColor="accent6" w:themeTint="99"/>
        </w:tcBorders>
      </w:tcPr>
    </w:tblStylePr>
    <w:tblStylePr w:type="lastRow">
      <w:rPr>
        <w:b/>
        <w:bCs/>
      </w:rPr>
      <w:tblPr/>
      <w:tcPr>
        <w:tcBorders>
          <w:top w:val="double" w:sz="4" w:space="0" w:color="E78DBA" w:themeColor="accent6" w:themeTint="99"/>
        </w:tcBorders>
      </w:tcPr>
    </w:tblStylePr>
    <w:tblStylePr w:type="firstCol">
      <w:rPr>
        <w:b/>
        <w:bCs/>
      </w:rPr>
    </w:tblStylePr>
    <w:tblStylePr w:type="lastCol">
      <w:rPr>
        <w:b/>
        <w:bCs/>
      </w:rPr>
    </w:tblStylePr>
    <w:tblStylePr w:type="band1Vert">
      <w:tblPr/>
      <w:tcPr>
        <w:shd w:val="clear" w:color="auto" w:fill="F7D9E8" w:themeFill="accent6" w:themeFillTint="33"/>
      </w:tcPr>
    </w:tblStylePr>
    <w:tblStylePr w:type="band1Horz">
      <w:tblPr/>
      <w:tcPr>
        <w:shd w:val="clear" w:color="auto" w:fill="F7D9E8" w:themeFill="accent6" w:themeFillTint="33"/>
      </w:tcPr>
    </w:tblStylePr>
  </w:style>
  <w:style w:type="table" w:styleId="TableauGrille7Couleur">
    <w:name w:val="Grid Table 7 Colorful"/>
    <w:basedOn w:val="TableauNormal"/>
    <w:uiPriority w:val="52"/>
    <w:rsid w:val="00924684"/>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TableauGrille7Couleur-Accentuation1">
    <w:name w:val="Grid Table 7 Colorful Accent 1"/>
    <w:basedOn w:val="TableauNormal"/>
    <w:uiPriority w:val="52"/>
    <w:rsid w:val="00924684"/>
    <w:pPr>
      <w:spacing w:after="0" w:line="240" w:lineRule="auto"/>
    </w:pPr>
    <w:rPr>
      <w:color w:val="C02018" w:themeColor="accent1" w:themeShade="BF"/>
    </w:rPr>
    <w:tblPr>
      <w:tblStyleRowBandSize w:val="1"/>
      <w:tblStyleColBandSize w:val="1"/>
      <w:tblBorders>
        <w:top w:val="single" w:sz="4" w:space="0" w:color="F08E8A" w:themeColor="accent1" w:themeTint="99"/>
        <w:left w:val="single" w:sz="4" w:space="0" w:color="F08E8A" w:themeColor="accent1" w:themeTint="99"/>
        <w:bottom w:val="single" w:sz="4" w:space="0" w:color="F08E8A" w:themeColor="accent1" w:themeTint="99"/>
        <w:right w:val="single" w:sz="4" w:space="0" w:color="F08E8A" w:themeColor="accent1" w:themeTint="99"/>
        <w:insideH w:val="single" w:sz="4" w:space="0" w:color="F08E8A" w:themeColor="accent1" w:themeTint="99"/>
        <w:insideV w:val="single" w:sz="4" w:space="0" w:color="F08E8A"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D9D8" w:themeFill="accent1" w:themeFillTint="33"/>
      </w:tcPr>
    </w:tblStylePr>
    <w:tblStylePr w:type="band1Horz">
      <w:tblPr/>
      <w:tcPr>
        <w:shd w:val="clear" w:color="auto" w:fill="FAD9D8" w:themeFill="accent1" w:themeFillTint="33"/>
      </w:tcPr>
    </w:tblStylePr>
    <w:tblStylePr w:type="neCell">
      <w:tblPr/>
      <w:tcPr>
        <w:tcBorders>
          <w:bottom w:val="single" w:sz="4" w:space="0" w:color="F08E8A" w:themeColor="accent1" w:themeTint="99"/>
        </w:tcBorders>
      </w:tcPr>
    </w:tblStylePr>
    <w:tblStylePr w:type="nwCell">
      <w:tblPr/>
      <w:tcPr>
        <w:tcBorders>
          <w:bottom w:val="single" w:sz="4" w:space="0" w:color="F08E8A" w:themeColor="accent1" w:themeTint="99"/>
        </w:tcBorders>
      </w:tcPr>
    </w:tblStylePr>
    <w:tblStylePr w:type="seCell">
      <w:tblPr/>
      <w:tcPr>
        <w:tcBorders>
          <w:top w:val="single" w:sz="4" w:space="0" w:color="F08E8A" w:themeColor="accent1" w:themeTint="99"/>
        </w:tcBorders>
      </w:tcPr>
    </w:tblStylePr>
    <w:tblStylePr w:type="swCell">
      <w:tblPr/>
      <w:tcPr>
        <w:tcBorders>
          <w:top w:val="single" w:sz="4" w:space="0" w:color="F08E8A" w:themeColor="accent1" w:themeTint="99"/>
        </w:tcBorders>
      </w:tcPr>
    </w:tblStylePr>
  </w:style>
  <w:style w:type="table" w:styleId="TableauGrille7Couleur-Accentuation2">
    <w:name w:val="Grid Table 7 Colorful Accent 2"/>
    <w:basedOn w:val="TableauNormal"/>
    <w:uiPriority w:val="52"/>
    <w:rsid w:val="00924684"/>
    <w:pPr>
      <w:spacing w:after="0" w:line="240" w:lineRule="auto"/>
    </w:pPr>
    <w:rPr>
      <w:color w:val="7C4272" w:themeColor="accent2" w:themeShade="BF"/>
    </w:rPr>
    <w:tblPr>
      <w:tblStyleRowBandSize w:val="1"/>
      <w:tblStyleColBandSize w:val="1"/>
      <w:tblBorders>
        <w:top w:val="single" w:sz="4" w:space="0" w:color="C99AC2" w:themeColor="accent2" w:themeTint="99"/>
        <w:left w:val="single" w:sz="4" w:space="0" w:color="C99AC2" w:themeColor="accent2" w:themeTint="99"/>
        <w:bottom w:val="single" w:sz="4" w:space="0" w:color="C99AC2" w:themeColor="accent2" w:themeTint="99"/>
        <w:right w:val="single" w:sz="4" w:space="0" w:color="C99AC2" w:themeColor="accent2" w:themeTint="99"/>
        <w:insideH w:val="single" w:sz="4" w:space="0" w:color="C99AC2" w:themeColor="accent2" w:themeTint="99"/>
        <w:insideV w:val="single" w:sz="4" w:space="0" w:color="C99AC2"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DDEA" w:themeFill="accent2" w:themeFillTint="33"/>
      </w:tcPr>
    </w:tblStylePr>
    <w:tblStylePr w:type="band1Horz">
      <w:tblPr/>
      <w:tcPr>
        <w:shd w:val="clear" w:color="auto" w:fill="EDDDEA" w:themeFill="accent2" w:themeFillTint="33"/>
      </w:tcPr>
    </w:tblStylePr>
    <w:tblStylePr w:type="neCell">
      <w:tblPr/>
      <w:tcPr>
        <w:tcBorders>
          <w:bottom w:val="single" w:sz="4" w:space="0" w:color="C99AC2" w:themeColor="accent2" w:themeTint="99"/>
        </w:tcBorders>
      </w:tcPr>
    </w:tblStylePr>
    <w:tblStylePr w:type="nwCell">
      <w:tblPr/>
      <w:tcPr>
        <w:tcBorders>
          <w:bottom w:val="single" w:sz="4" w:space="0" w:color="C99AC2" w:themeColor="accent2" w:themeTint="99"/>
        </w:tcBorders>
      </w:tcPr>
    </w:tblStylePr>
    <w:tblStylePr w:type="seCell">
      <w:tblPr/>
      <w:tcPr>
        <w:tcBorders>
          <w:top w:val="single" w:sz="4" w:space="0" w:color="C99AC2" w:themeColor="accent2" w:themeTint="99"/>
        </w:tcBorders>
      </w:tcPr>
    </w:tblStylePr>
    <w:tblStylePr w:type="swCell">
      <w:tblPr/>
      <w:tcPr>
        <w:tcBorders>
          <w:top w:val="single" w:sz="4" w:space="0" w:color="C99AC2" w:themeColor="accent2" w:themeTint="99"/>
        </w:tcBorders>
      </w:tcPr>
    </w:tblStylePr>
  </w:style>
  <w:style w:type="table" w:styleId="TableauGrille7Couleur-Accentuation3">
    <w:name w:val="Grid Table 7 Colorful Accent 3"/>
    <w:basedOn w:val="TableauNormal"/>
    <w:uiPriority w:val="52"/>
    <w:rsid w:val="00924684"/>
    <w:pPr>
      <w:spacing w:after="0" w:line="240" w:lineRule="auto"/>
    </w:pPr>
    <w:rPr>
      <w:color w:val="2D72A4" w:themeColor="accent3" w:themeShade="BF"/>
    </w:rPr>
    <w:tblPr>
      <w:tblStyleRowBandSize w:val="1"/>
      <w:tblStyleColBandSize w:val="1"/>
      <w:tblBorders>
        <w:top w:val="single" w:sz="4" w:space="0" w:color="93C0E1" w:themeColor="accent3" w:themeTint="99"/>
        <w:left w:val="single" w:sz="4" w:space="0" w:color="93C0E1" w:themeColor="accent3" w:themeTint="99"/>
        <w:bottom w:val="single" w:sz="4" w:space="0" w:color="93C0E1" w:themeColor="accent3" w:themeTint="99"/>
        <w:right w:val="single" w:sz="4" w:space="0" w:color="93C0E1" w:themeColor="accent3" w:themeTint="99"/>
        <w:insideH w:val="single" w:sz="4" w:space="0" w:color="93C0E1" w:themeColor="accent3" w:themeTint="99"/>
        <w:insideV w:val="single" w:sz="4" w:space="0" w:color="93C0E1"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AF5" w:themeFill="accent3" w:themeFillTint="33"/>
      </w:tcPr>
    </w:tblStylePr>
    <w:tblStylePr w:type="band1Horz">
      <w:tblPr/>
      <w:tcPr>
        <w:shd w:val="clear" w:color="auto" w:fill="DBEAF5" w:themeFill="accent3" w:themeFillTint="33"/>
      </w:tcPr>
    </w:tblStylePr>
    <w:tblStylePr w:type="neCell">
      <w:tblPr/>
      <w:tcPr>
        <w:tcBorders>
          <w:bottom w:val="single" w:sz="4" w:space="0" w:color="93C0E1" w:themeColor="accent3" w:themeTint="99"/>
        </w:tcBorders>
      </w:tcPr>
    </w:tblStylePr>
    <w:tblStylePr w:type="nwCell">
      <w:tblPr/>
      <w:tcPr>
        <w:tcBorders>
          <w:bottom w:val="single" w:sz="4" w:space="0" w:color="93C0E1" w:themeColor="accent3" w:themeTint="99"/>
        </w:tcBorders>
      </w:tcPr>
    </w:tblStylePr>
    <w:tblStylePr w:type="seCell">
      <w:tblPr/>
      <w:tcPr>
        <w:tcBorders>
          <w:top w:val="single" w:sz="4" w:space="0" w:color="93C0E1" w:themeColor="accent3" w:themeTint="99"/>
        </w:tcBorders>
      </w:tcPr>
    </w:tblStylePr>
    <w:tblStylePr w:type="swCell">
      <w:tblPr/>
      <w:tcPr>
        <w:tcBorders>
          <w:top w:val="single" w:sz="4" w:space="0" w:color="93C0E1" w:themeColor="accent3" w:themeTint="99"/>
        </w:tcBorders>
      </w:tcPr>
    </w:tblStylePr>
  </w:style>
  <w:style w:type="table" w:styleId="TableauGrille7Couleur-Accentuation4">
    <w:name w:val="Grid Table 7 Colorful Accent 4"/>
    <w:basedOn w:val="TableauNormal"/>
    <w:uiPriority w:val="52"/>
    <w:rsid w:val="00924684"/>
    <w:pPr>
      <w:spacing w:after="0" w:line="240" w:lineRule="auto"/>
    </w:pPr>
    <w:rPr>
      <w:color w:val="235E63" w:themeColor="accent4" w:themeShade="BF"/>
    </w:rPr>
    <w:tblPr>
      <w:tblStyleRowBandSize w:val="1"/>
      <w:tblStyleColBandSize w:val="1"/>
      <w:tblBorders>
        <w:top w:val="single" w:sz="4" w:space="0" w:color="6CC4CB" w:themeColor="accent4" w:themeTint="99"/>
        <w:left w:val="single" w:sz="4" w:space="0" w:color="6CC4CB" w:themeColor="accent4" w:themeTint="99"/>
        <w:bottom w:val="single" w:sz="4" w:space="0" w:color="6CC4CB" w:themeColor="accent4" w:themeTint="99"/>
        <w:right w:val="single" w:sz="4" w:space="0" w:color="6CC4CB" w:themeColor="accent4" w:themeTint="99"/>
        <w:insideH w:val="single" w:sz="4" w:space="0" w:color="6CC4CB" w:themeColor="accent4" w:themeTint="99"/>
        <w:insideV w:val="single" w:sz="4" w:space="0" w:color="6CC4CB"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EEBED" w:themeFill="accent4" w:themeFillTint="33"/>
      </w:tcPr>
    </w:tblStylePr>
    <w:tblStylePr w:type="band1Horz">
      <w:tblPr/>
      <w:tcPr>
        <w:shd w:val="clear" w:color="auto" w:fill="CEEBED" w:themeFill="accent4" w:themeFillTint="33"/>
      </w:tcPr>
    </w:tblStylePr>
    <w:tblStylePr w:type="neCell">
      <w:tblPr/>
      <w:tcPr>
        <w:tcBorders>
          <w:bottom w:val="single" w:sz="4" w:space="0" w:color="6CC4CB" w:themeColor="accent4" w:themeTint="99"/>
        </w:tcBorders>
      </w:tcPr>
    </w:tblStylePr>
    <w:tblStylePr w:type="nwCell">
      <w:tblPr/>
      <w:tcPr>
        <w:tcBorders>
          <w:bottom w:val="single" w:sz="4" w:space="0" w:color="6CC4CB" w:themeColor="accent4" w:themeTint="99"/>
        </w:tcBorders>
      </w:tcPr>
    </w:tblStylePr>
    <w:tblStylePr w:type="seCell">
      <w:tblPr/>
      <w:tcPr>
        <w:tcBorders>
          <w:top w:val="single" w:sz="4" w:space="0" w:color="6CC4CB" w:themeColor="accent4" w:themeTint="99"/>
        </w:tcBorders>
      </w:tcPr>
    </w:tblStylePr>
    <w:tblStylePr w:type="swCell">
      <w:tblPr/>
      <w:tcPr>
        <w:tcBorders>
          <w:top w:val="single" w:sz="4" w:space="0" w:color="6CC4CB" w:themeColor="accent4" w:themeTint="99"/>
        </w:tcBorders>
      </w:tcPr>
    </w:tblStylePr>
  </w:style>
  <w:style w:type="table" w:styleId="TableauGrille7Couleur-Accentuation5">
    <w:name w:val="Grid Table 7 Colorful Accent 5"/>
    <w:basedOn w:val="TableauNormal"/>
    <w:uiPriority w:val="52"/>
    <w:rsid w:val="00924684"/>
    <w:pPr>
      <w:spacing w:after="0" w:line="240" w:lineRule="auto"/>
    </w:pPr>
    <w:rPr>
      <w:color w:val="CE9504" w:themeColor="accent5" w:themeShade="BF"/>
    </w:rPr>
    <w:tblPr>
      <w:tblStyleRowBandSize w:val="1"/>
      <w:tblStyleColBandSize w:val="1"/>
      <w:tblBorders>
        <w:top w:val="single" w:sz="4" w:space="0" w:color="FCD679" w:themeColor="accent5" w:themeTint="99"/>
        <w:left w:val="single" w:sz="4" w:space="0" w:color="FCD679" w:themeColor="accent5" w:themeTint="99"/>
        <w:bottom w:val="single" w:sz="4" w:space="0" w:color="FCD679" w:themeColor="accent5" w:themeTint="99"/>
        <w:right w:val="single" w:sz="4" w:space="0" w:color="FCD679" w:themeColor="accent5" w:themeTint="99"/>
        <w:insideH w:val="single" w:sz="4" w:space="0" w:color="FCD679" w:themeColor="accent5" w:themeTint="99"/>
        <w:insideV w:val="single" w:sz="4" w:space="0" w:color="FCD679"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F1D2" w:themeFill="accent5" w:themeFillTint="33"/>
      </w:tcPr>
    </w:tblStylePr>
    <w:tblStylePr w:type="band1Horz">
      <w:tblPr/>
      <w:tcPr>
        <w:shd w:val="clear" w:color="auto" w:fill="FEF1D2" w:themeFill="accent5" w:themeFillTint="33"/>
      </w:tcPr>
    </w:tblStylePr>
    <w:tblStylePr w:type="neCell">
      <w:tblPr/>
      <w:tcPr>
        <w:tcBorders>
          <w:bottom w:val="single" w:sz="4" w:space="0" w:color="FCD679" w:themeColor="accent5" w:themeTint="99"/>
        </w:tcBorders>
      </w:tcPr>
    </w:tblStylePr>
    <w:tblStylePr w:type="nwCell">
      <w:tblPr/>
      <w:tcPr>
        <w:tcBorders>
          <w:bottom w:val="single" w:sz="4" w:space="0" w:color="FCD679" w:themeColor="accent5" w:themeTint="99"/>
        </w:tcBorders>
      </w:tcPr>
    </w:tblStylePr>
    <w:tblStylePr w:type="seCell">
      <w:tblPr/>
      <w:tcPr>
        <w:tcBorders>
          <w:top w:val="single" w:sz="4" w:space="0" w:color="FCD679" w:themeColor="accent5" w:themeTint="99"/>
        </w:tcBorders>
      </w:tcPr>
    </w:tblStylePr>
    <w:tblStylePr w:type="swCell">
      <w:tblPr/>
      <w:tcPr>
        <w:tcBorders>
          <w:top w:val="single" w:sz="4" w:space="0" w:color="FCD679" w:themeColor="accent5" w:themeTint="99"/>
        </w:tcBorders>
      </w:tcPr>
    </w:tblStylePr>
  </w:style>
  <w:style w:type="table" w:styleId="TableauGrille7Couleur-Accentuation6">
    <w:name w:val="Grid Table 7 Colorful Accent 6"/>
    <w:basedOn w:val="TableauNormal"/>
    <w:uiPriority w:val="52"/>
    <w:rsid w:val="00924684"/>
    <w:pPr>
      <w:spacing w:after="0" w:line="240" w:lineRule="auto"/>
    </w:pPr>
    <w:rPr>
      <w:color w:val="AD2469" w:themeColor="accent6" w:themeShade="BF"/>
    </w:rPr>
    <w:tblPr>
      <w:tblStyleRowBandSize w:val="1"/>
      <w:tblStyleColBandSize w:val="1"/>
      <w:tblBorders>
        <w:top w:val="single" w:sz="4" w:space="0" w:color="E78DBA" w:themeColor="accent6" w:themeTint="99"/>
        <w:left w:val="single" w:sz="4" w:space="0" w:color="E78DBA" w:themeColor="accent6" w:themeTint="99"/>
        <w:bottom w:val="single" w:sz="4" w:space="0" w:color="E78DBA" w:themeColor="accent6" w:themeTint="99"/>
        <w:right w:val="single" w:sz="4" w:space="0" w:color="E78DBA" w:themeColor="accent6" w:themeTint="99"/>
        <w:insideH w:val="single" w:sz="4" w:space="0" w:color="E78DBA" w:themeColor="accent6" w:themeTint="99"/>
        <w:insideV w:val="single" w:sz="4" w:space="0" w:color="E78DBA"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7D9E8" w:themeFill="accent6" w:themeFillTint="33"/>
      </w:tcPr>
    </w:tblStylePr>
    <w:tblStylePr w:type="band1Horz">
      <w:tblPr/>
      <w:tcPr>
        <w:shd w:val="clear" w:color="auto" w:fill="F7D9E8" w:themeFill="accent6" w:themeFillTint="33"/>
      </w:tcPr>
    </w:tblStylePr>
    <w:tblStylePr w:type="neCell">
      <w:tblPr/>
      <w:tcPr>
        <w:tcBorders>
          <w:bottom w:val="single" w:sz="4" w:space="0" w:color="E78DBA" w:themeColor="accent6" w:themeTint="99"/>
        </w:tcBorders>
      </w:tcPr>
    </w:tblStylePr>
    <w:tblStylePr w:type="nwCell">
      <w:tblPr/>
      <w:tcPr>
        <w:tcBorders>
          <w:bottom w:val="single" w:sz="4" w:space="0" w:color="E78DBA" w:themeColor="accent6" w:themeTint="99"/>
        </w:tcBorders>
      </w:tcPr>
    </w:tblStylePr>
    <w:tblStylePr w:type="seCell">
      <w:tblPr/>
      <w:tcPr>
        <w:tcBorders>
          <w:top w:val="single" w:sz="4" w:space="0" w:color="E78DBA" w:themeColor="accent6" w:themeTint="99"/>
        </w:tcBorders>
      </w:tcPr>
    </w:tblStylePr>
    <w:tblStylePr w:type="swCell">
      <w:tblPr/>
      <w:tcPr>
        <w:tcBorders>
          <w:top w:val="single" w:sz="4" w:space="0" w:color="E78DBA" w:themeColor="accent6" w:themeTint="99"/>
        </w:tcBorders>
      </w:tcPr>
    </w:tblStylePr>
  </w:style>
  <w:style w:type="character" w:styleId="Mot-dise">
    <w:name w:val="Hashtag"/>
    <w:basedOn w:val="Policepardfaut"/>
    <w:uiPriority w:val="99"/>
    <w:semiHidden/>
    <w:rsid w:val="00924684"/>
    <w:rPr>
      <w:color w:val="2B579A"/>
      <w:shd w:val="clear" w:color="auto" w:fill="E1DFDD"/>
    </w:rPr>
  </w:style>
  <w:style w:type="character" w:styleId="AcronymeHTML">
    <w:name w:val="HTML Acronym"/>
    <w:basedOn w:val="Policepardfaut"/>
    <w:uiPriority w:val="49"/>
    <w:semiHidden/>
    <w:rsid w:val="00924684"/>
  </w:style>
  <w:style w:type="paragraph" w:styleId="AdresseHTML">
    <w:name w:val="HTML Address"/>
    <w:basedOn w:val="Normal"/>
    <w:link w:val="AdresseHTMLCar"/>
    <w:uiPriority w:val="49"/>
    <w:semiHidden/>
    <w:rsid w:val="00924684"/>
    <w:pPr>
      <w:spacing w:before="0" w:after="0"/>
    </w:pPr>
    <w:rPr>
      <w:i/>
      <w:iCs/>
    </w:rPr>
  </w:style>
  <w:style w:type="character" w:customStyle="1" w:styleId="AdresseHTMLCar">
    <w:name w:val="Adresse HTML Car"/>
    <w:basedOn w:val="Policepardfaut"/>
    <w:link w:val="AdresseHTML"/>
    <w:uiPriority w:val="49"/>
    <w:semiHidden/>
    <w:rsid w:val="00330600"/>
    <w:rPr>
      <w:i/>
      <w:iCs/>
    </w:rPr>
  </w:style>
  <w:style w:type="character" w:styleId="CitationHTML">
    <w:name w:val="HTML Cite"/>
    <w:basedOn w:val="Policepardfaut"/>
    <w:uiPriority w:val="49"/>
    <w:semiHidden/>
    <w:rsid w:val="00924684"/>
    <w:rPr>
      <w:i/>
      <w:iCs/>
    </w:rPr>
  </w:style>
  <w:style w:type="character" w:styleId="CodeHTML">
    <w:name w:val="HTML Code"/>
    <w:basedOn w:val="Policepardfaut"/>
    <w:uiPriority w:val="49"/>
    <w:semiHidden/>
    <w:rsid w:val="00924684"/>
    <w:rPr>
      <w:rFonts w:ascii="Times New Roman" w:hAnsi="Times New Roman" w:cs="Times New Roman"/>
      <w:sz w:val="20"/>
      <w:szCs w:val="20"/>
    </w:rPr>
  </w:style>
  <w:style w:type="character" w:styleId="DfinitionHTML">
    <w:name w:val="HTML Definition"/>
    <w:basedOn w:val="Policepardfaut"/>
    <w:uiPriority w:val="49"/>
    <w:semiHidden/>
    <w:rsid w:val="00924684"/>
    <w:rPr>
      <w:i/>
      <w:iCs/>
    </w:rPr>
  </w:style>
  <w:style w:type="character" w:styleId="ClavierHTML">
    <w:name w:val="HTML Keyboard"/>
    <w:basedOn w:val="Policepardfaut"/>
    <w:uiPriority w:val="49"/>
    <w:semiHidden/>
    <w:rsid w:val="00924684"/>
    <w:rPr>
      <w:rFonts w:ascii="Times New Roman" w:hAnsi="Times New Roman" w:cs="Times New Roman"/>
      <w:sz w:val="20"/>
      <w:szCs w:val="20"/>
    </w:rPr>
  </w:style>
  <w:style w:type="paragraph" w:styleId="PrformatHTML">
    <w:name w:val="HTML Preformatted"/>
    <w:basedOn w:val="Normal"/>
    <w:link w:val="PrformatHTMLCar"/>
    <w:uiPriority w:val="49"/>
    <w:semiHidden/>
    <w:rsid w:val="00924684"/>
    <w:pPr>
      <w:spacing w:before="0" w:after="0"/>
    </w:pPr>
    <w:rPr>
      <w:rFonts w:cs="Times New Roman"/>
      <w:sz w:val="20"/>
      <w:szCs w:val="20"/>
    </w:rPr>
  </w:style>
  <w:style w:type="character" w:customStyle="1" w:styleId="PrformatHTMLCar">
    <w:name w:val="Préformaté HTML Car"/>
    <w:basedOn w:val="Policepardfaut"/>
    <w:link w:val="PrformatHTML"/>
    <w:uiPriority w:val="49"/>
    <w:semiHidden/>
    <w:rsid w:val="00330600"/>
    <w:rPr>
      <w:rFonts w:cs="Times New Roman"/>
      <w:sz w:val="20"/>
      <w:szCs w:val="20"/>
    </w:rPr>
  </w:style>
  <w:style w:type="character" w:styleId="ExempleHTML">
    <w:name w:val="HTML Sample"/>
    <w:basedOn w:val="Policepardfaut"/>
    <w:uiPriority w:val="49"/>
    <w:semiHidden/>
    <w:rsid w:val="00924684"/>
    <w:rPr>
      <w:rFonts w:ascii="Times New Roman" w:hAnsi="Times New Roman" w:cs="Times New Roman"/>
      <w:sz w:val="24"/>
      <w:szCs w:val="24"/>
    </w:rPr>
  </w:style>
  <w:style w:type="character" w:styleId="MachinecrireHTML">
    <w:name w:val="HTML Typewriter"/>
    <w:basedOn w:val="Policepardfaut"/>
    <w:uiPriority w:val="49"/>
    <w:semiHidden/>
    <w:rsid w:val="00924684"/>
    <w:rPr>
      <w:rFonts w:ascii="Times New Roman" w:hAnsi="Times New Roman" w:cs="Times New Roman"/>
      <w:sz w:val="20"/>
      <w:szCs w:val="20"/>
    </w:rPr>
  </w:style>
  <w:style w:type="character" w:styleId="VariableHTML">
    <w:name w:val="HTML Variable"/>
    <w:basedOn w:val="Policepardfaut"/>
    <w:uiPriority w:val="49"/>
    <w:semiHidden/>
    <w:rsid w:val="00924684"/>
    <w:rPr>
      <w:i/>
      <w:iCs/>
    </w:rPr>
  </w:style>
  <w:style w:type="paragraph" w:styleId="Titreindex">
    <w:name w:val="index heading"/>
    <w:basedOn w:val="Normal"/>
    <w:next w:val="Index1"/>
    <w:uiPriority w:val="49"/>
    <w:semiHidden/>
    <w:rsid w:val="00924684"/>
    <w:rPr>
      <w:rFonts w:asciiTheme="majorHAnsi" w:eastAsiaTheme="majorEastAsia" w:hAnsiTheme="majorHAnsi" w:cstheme="majorBidi"/>
      <w:b/>
      <w:bCs/>
    </w:rPr>
  </w:style>
  <w:style w:type="character" w:styleId="Accentuationintense">
    <w:name w:val="Intense Emphasis"/>
    <w:basedOn w:val="Policepardfaut"/>
    <w:uiPriority w:val="49"/>
    <w:semiHidden/>
    <w:qFormat/>
    <w:rsid w:val="00924684"/>
    <w:rPr>
      <w:i/>
      <w:iCs/>
      <w:color w:val="E6443C" w:themeColor="accent1"/>
    </w:rPr>
  </w:style>
  <w:style w:type="paragraph" w:styleId="Citationintense">
    <w:name w:val="Intense Quote"/>
    <w:basedOn w:val="Normal"/>
    <w:next w:val="Normal"/>
    <w:link w:val="CitationintenseCar"/>
    <w:uiPriority w:val="49"/>
    <w:semiHidden/>
    <w:qFormat/>
    <w:rsid w:val="00924684"/>
    <w:pPr>
      <w:pBdr>
        <w:top w:val="single" w:sz="4" w:space="10" w:color="E6443C" w:themeColor="accent1"/>
        <w:bottom w:val="single" w:sz="4" w:space="10" w:color="E6443C" w:themeColor="accent1"/>
      </w:pBdr>
      <w:spacing w:before="360" w:after="360"/>
      <w:ind w:left="864" w:right="864"/>
      <w:jc w:val="center"/>
    </w:pPr>
    <w:rPr>
      <w:i/>
      <w:iCs/>
      <w:color w:val="E6443C" w:themeColor="accent1"/>
    </w:rPr>
  </w:style>
  <w:style w:type="character" w:customStyle="1" w:styleId="CitationintenseCar">
    <w:name w:val="Citation intense Car"/>
    <w:basedOn w:val="Policepardfaut"/>
    <w:link w:val="Citationintense"/>
    <w:uiPriority w:val="49"/>
    <w:semiHidden/>
    <w:rsid w:val="00330600"/>
    <w:rPr>
      <w:i/>
      <w:iCs/>
      <w:color w:val="E6443C" w:themeColor="accent1"/>
    </w:rPr>
  </w:style>
  <w:style w:type="character" w:styleId="Rfrenceintense">
    <w:name w:val="Intense Reference"/>
    <w:basedOn w:val="Policepardfaut"/>
    <w:uiPriority w:val="49"/>
    <w:semiHidden/>
    <w:qFormat/>
    <w:rsid w:val="00924684"/>
    <w:rPr>
      <w:b/>
      <w:bCs/>
      <w:smallCaps/>
      <w:color w:val="E6443C" w:themeColor="accent1"/>
      <w:spacing w:val="5"/>
    </w:rPr>
  </w:style>
  <w:style w:type="table" w:styleId="Grilleclaire">
    <w:name w:val="Light Grid"/>
    <w:basedOn w:val="TableauNormal"/>
    <w:uiPriority w:val="62"/>
    <w:semiHidden/>
    <w:unhideWhenUsed/>
    <w:rsid w:val="0092468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Grilleclaire-Accent1">
    <w:name w:val="Light Grid Accent 1"/>
    <w:basedOn w:val="TableauNormal"/>
    <w:uiPriority w:val="62"/>
    <w:rsid w:val="00924684"/>
    <w:pPr>
      <w:spacing w:after="0" w:line="240" w:lineRule="auto"/>
    </w:pPr>
    <w:tblPr>
      <w:tblStyleRowBandSize w:val="1"/>
      <w:tblStyleColBandSize w:val="1"/>
      <w:tblBorders>
        <w:top w:val="single" w:sz="8" w:space="0" w:color="E6443C" w:themeColor="accent1"/>
        <w:left w:val="single" w:sz="8" w:space="0" w:color="E6443C" w:themeColor="accent1"/>
        <w:bottom w:val="single" w:sz="8" w:space="0" w:color="E6443C" w:themeColor="accent1"/>
        <w:right w:val="single" w:sz="8" w:space="0" w:color="E6443C" w:themeColor="accent1"/>
        <w:insideH w:val="single" w:sz="8" w:space="0" w:color="E6443C" w:themeColor="accent1"/>
        <w:insideV w:val="single" w:sz="8" w:space="0" w:color="E6443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6443C" w:themeColor="accent1"/>
          <w:left w:val="single" w:sz="8" w:space="0" w:color="E6443C" w:themeColor="accent1"/>
          <w:bottom w:val="single" w:sz="18" w:space="0" w:color="E6443C" w:themeColor="accent1"/>
          <w:right w:val="single" w:sz="8" w:space="0" w:color="E6443C" w:themeColor="accent1"/>
          <w:insideH w:val="nil"/>
          <w:insideV w:val="single" w:sz="8" w:space="0" w:color="E6443C"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6443C" w:themeColor="accent1"/>
          <w:left w:val="single" w:sz="8" w:space="0" w:color="E6443C" w:themeColor="accent1"/>
          <w:bottom w:val="single" w:sz="8" w:space="0" w:color="E6443C" w:themeColor="accent1"/>
          <w:right w:val="single" w:sz="8" w:space="0" w:color="E6443C" w:themeColor="accent1"/>
          <w:insideH w:val="nil"/>
          <w:insideV w:val="single" w:sz="8" w:space="0" w:color="E6443C"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6443C" w:themeColor="accent1"/>
          <w:left w:val="single" w:sz="8" w:space="0" w:color="E6443C" w:themeColor="accent1"/>
          <w:bottom w:val="single" w:sz="8" w:space="0" w:color="E6443C" w:themeColor="accent1"/>
          <w:right w:val="single" w:sz="8" w:space="0" w:color="E6443C" w:themeColor="accent1"/>
        </w:tcBorders>
      </w:tcPr>
    </w:tblStylePr>
    <w:tblStylePr w:type="band1Vert">
      <w:tblPr/>
      <w:tcPr>
        <w:tcBorders>
          <w:top w:val="single" w:sz="8" w:space="0" w:color="E6443C" w:themeColor="accent1"/>
          <w:left w:val="single" w:sz="8" w:space="0" w:color="E6443C" w:themeColor="accent1"/>
          <w:bottom w:val="single" w:sz="8" w:space="0" w:color="E6443C" w:themeColor="accent1"/>
          <w:right w:val="single" w:sz="8" w:space="0" w:color="E6443C" w:themeColor="accent1"/>
        </w:tcBorders>
        <w:shd w:val="clear" w:color="auto" w:fill="F8D0CE" w:themeFill="accent1" w:themeFillTint="3F"/>
      </w:tcPr>
    </w:tblStylePr>
    <w:tblStylePr w:type="band1Horz">
      <w:tblPr/>
      <w:tcPr>
        <w:tcBorders>
          <w:top w:val="single" w:sz="8" w:space="0" w:color="E6443C" w:themeColor="accent1"/>
          <w:left w:val="single" w:sz="8" w:space="0" w:color="E6443C" w:themeColor="accent1"/>
          <w:bottom w:val="single" w:sz="8" w:space="0" w:color="E6443C" w:themeColor="accent1"/>
          <w:right w:val="single" w:sz="8" w:space="0" w:color="E6443C" w:themeColor="accent1"/>
          <w:insideV w:val="single" w:sz="8" w:space="0" w:color="E6443C" w:themeColor="accent1"/>
        </w:tcBorders>
        <w:shd w:val="clear" w:color="auto" w:fill="F8D0CE" w:themeFill="accent1" w:themeFillTint="3F"/>
      </w:tcPr>
    </w:tblStylePr>
    <w:tblStylePr w:type="band2Horz">
      <w:tblPr/>
      <w:tcPr>
        <w:tcBorders>
          <w:top w:val="single" w:sz="8" w:space="0" w:color="E6443C" w:themeColor="accent1"/>
          <w:left w:val="single" w:sz="8" w:space="0" w:color="E6443C" w:themeColor="accent1"/>
          <w:bottom w:val="single" w:sz="8" w:space="0" w:color="E6443C" w:themeColor="accent1"/>
          <w:right w:val="single" w:sz="8" w:space="0" w:color="E6443C" w:themeColor="accent1"/>
          <w:insideV w:val="single" w:sz="8" w:space="0" w:color="E6443C" w:themeColor="accent1"/>
        </w:tcBorders>
      </w:tcPr>
    </w:tblStylePr>
  </w:style>
  <w:style w:type="table" w:styleId="Grilleclaire-Accent2">
    <w:name w:val="Light Grid Accent 2"/>
    <w:basedOn w:val="TableauNormal"/>
    <w:uiPriority w:val="62"/>
    <w:semiHidden/>
    <w:unhideWhenUsed/>
    <w:rsid w:val="00924684"/>
    <w:pPr>
      <w:spacing w:after="0" w:line="240" w:lineRule="auto"/>
    </w:pPr>
    <w:tblPr>
      <w:tblStyleRowBandSize w:val="1"/>
      <w:tblStyleColBandSize w:val="1"/>
      <w:tblBorders>
        <w:top w:val="single" w:sz="8" w:space="0" w:color="A6589A" w:themeColor="accent2"/>
        <w:left w:val="single" w:sz="8" w:space="0" w:color="A6589A" w:themeColor="accent2"/>
        <w:bottom w:val="single" w:sz="8" w:space="0" w:color="A6589A" w:themeColor="accent2"/>
        <w:right w:val="single" w:sz="8" w:space="0" w:color="A6589A" w:themeColor="accent2"/>
        <w:insideH w:val="single" w:sz="8" w:space="0" w:color="A6589A" w:themeColor="accent2"/>
        <w:insideV w:val="single" w:sz="8" w:space="0" w:color="A6589A"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6589A" w:themeColor="accent2"/>
          <w:left w:val="single" w:sz="8" w:space="0" w:color="A6589A" w:themeColor="accent2"/>
          <w:bottom w:val="single" w:sz="18" w:space="0" w:color="A6589A" w:themeColor="accent2"/>
          <w:right w:val="single" w:sz="8" w:space="0" w:color="A6589A" w:themeColor="accent2"/>
          <w:insideH w:val="nil"/>
          <w:insideV w:val="single" w:sz="8" w:space="0" w:color="A6589A"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6589A" w:themeColor="accent2"/>
          <w:left w:val="single" w:sz="8" w:space="0" w:color="A6589A" w:themeColor="accent2"/>
          <w:bottom w:val="single" w:sz="8" w:space="0" w:color="A6589A" w:themeColor="accent2"/>
          <w:right w:val="single" w:sz="8" w:space="0" w:color="A6589A" w:themeColor="accent2"/>
          <w:insideH w:val="nil"/>
          <w:insideV w:val="single" w:sz="8" w:space="0" w:color="A6589A"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6589A" w:themeColor="accent2"/>
          <w:left w:val="single" w:sz="8" w:space="0" w:color="A6589A" w:themeColor="accent2"/>
          <w:bottom w:val="single" w:sz="8" w:space="0" w:color="A6589A" w:themeColor="accent2"/>
          <w:right w:val="single" w:sz="8" w:space="0" w:color="A6589A" w:themeColor="accent2"/>
        </w:tcBorders>
      </w:tcPr>
    </w:tblStylePr>
    <w:tblStylePr w:type="band1Vert">
      <w:tblPr/>
      <w:tcPr>
        <w:tcBorders>
          <w:top w:val="single" w:sz="8" w:space="0" w:color="A6589A" w:themeColor="accent2"/>
          <w:left w:val="single" w:sz="8" w:space="0" w:color="A6589A" w:themeColor="accent2"/>
          <w:bottom w:val="single" w:sz="8" w:space="0" w:color="A6589A" w:themeColor="accent2"/>
          <w:right w:val="single" w:sz="8" w:space="0" w:color="A6589A" w:themeColor="accent2"/>
        </w:tcBorders>
        <w:shd w:val="clear" w:color="auto" w:fill="E9D5E6" w:themeFill="accent2" w:themeFillTint="3F"/>
      </w:tcPr>
    </w:tblStylePr>
    <w:tblStylePr w:type="band1Horz">
      <w:tblPr/>
      <w:tcPr>
        <w:tcBorders>
          <w:top w:val="single" w:sz="8" w:space="0" w:color="A6589A" w:themeColor="accent2"/>
          <w:left w:val="single" w:sz="8" w:space="0" w:color="A6589A" w:themeColor="accent2"/>
          <w:bottom w:val="single" w:sz="8" w:space="0" w:color="A6589A" w:themeColor="accent2"/>
          <w:right w:val="single" w:sz="8" w:space="0" w:color="A6589A" w:themeColor="accent2"/>
          <w:insideV w:val="single" w:sz="8" w:space="0" w:color="A6589A" w:themeColor="accent2"/>
        </w:tcBorders>
        <w:shd w:val="clear" w:color="auto" w:fill="E9D5E6" w:themeFill="accent2" w:themeFillTint="3F"/>
      </w:tcPr>
    </w:tblStylePr>
    <w:tblStylePr w:type="band2Horz">
      <w:tblPr/>
      <w:tcPr>
        <w:tcBorders>
          <w:top w:val="single" w:sz="8" w:space="0" w:color="A6589A" w:themeColor="accent2"/>
          <w:left w:val="single" w:sz="8" w:space="0" w:color="A6589A" w:themeColor="accent2"/>
          <w:bottom w:val="single" w:sz="8" w:space="0" w:color="A6589A" w:themeColor="accent2"/>
          <w:right w:val="single" w:sz="8" w:space="0" w:color="A6589A" w:themeColor="accent2"/>
          <w:insideV w:val="single" w:sz="8" w:space="0" w:color="A6589A" w:themeColor="accent2"/>
        </w:tcBorders>
      </w:tcPr>
    </w:tblStylePr>
  </w:style>
  <w:style w:type="table" w:styleId="Grilleclaire-Accent3">
    <w:name w:val="Light Grid Accent 3"/>
    <w:basedOn w:val="TableauNormal"/>
    <w:uiPriority w:val="62"/>
    <w:semiHidden/>
    <w:unhideWhenUsed/>
    <w:rsid w:val="00924684"/>
    <w:pPr>
      <w:spacing w:after="0" w:line="240" w:lineRule="auto"/>
    </w:pPr>
    <w:tblPr>
      <w:tblStyleRowBandSize w:val="1"/>
      <w:tblStyleColBandSize w:val="1"/>
      <w:tblBorders>
        <w:top w:val="single" w:sz="8" w:space="0" w:color="4B97CD" w:themeColor="accent3"/>
        <w:left w:val="single" w:sz="8" w:space="0" w:color="4B97CD" w:themeColor="accent3"/>
        <w:bottom w:val="single" w:sz="8" w:space="0" w:color="4B97CD" w:themeColor="accent3"/>
        <w:right w:val="single" w:sz="8" w:space="0" w:color="4B97CD" w:themeColor="accent3"/>
        <w:insideH w:val="single" w:sz="8" w:space="0" w:color="4B97CD" w:themeColor="accent3"/>
        <w:insideV w:val="single" w:sz="8" w:space="0" w:color="4B97CD"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97CD" w:themeColor="accent3"/>
          <w:left w:val="single" w:sz="8" w:space="0" w:color="4B97CD" w:themeColor="accent3"/>
          <w:bottom w:val="single" w:sz="18" w:space="0" w:color="4B97CD" w:themeColor="accent3"/>
          <w:right w:val="single" w:sz="8" w:space="0" w:color="4B97CD" w:themeColor="accent3"/>
          <w:insideH w:val="nil"/>
          <w:insideV w:val="single" w:sz="8" w:space="0" w:color="4B97CD"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97CD" w:themeColor="accent3"/>
          <w:left w:val="single" w:sz="8" w:space="0" w:color="4B97CD" w:themeColor="accent3"/>
          <w:bottom w:val="single" w:sz="8" w:space="0" w:color="4B97CD" w:themeColor="accent3"/>
          <w:right w:val="single" w:sz="8" w:space="0" w:color="4B97CD" w:themeColor="accent3"/>
          <w:insideH w:val="nil"/>
          <w:insideV w:val="single" w:sz="8" w:space="0" w:color="4B97CD"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97CD" w:themeColor="accent3"/>
          <w:left w:val="single" w:sz="8" w:space="0" w:color="4B97CD" w:themeColor="accent3"/>
          <w:bottom w:val="single" w:sz="8" w:space="0" w:color="4B97CD" w:themeColor="accent3"/>
          <w:right w:val="single" w:sz="8" w:space="0" w:color="4B97CD" w:themeColor="accent3"/>
        </w:tcBorders>
      </w:tcPr>
    </w:tblStylePr>
    <w:tblStylePr w:type="band1Vert">
      <w:tblPr/>
      <w:tcPr>
        <w:tcBorders>
          <w:top w:val="single" w:sz="8" w:space="0" w:color="4B97CD" w:themeColor="accent3"/>
          <w:left w:val="single" w:sz="8" w:space="0" w:color="4B97CD" w:themeColor="accent3"/>
          <w:bottom w:val="single" w:sz="8" w:space="0" w:color="4B97CD" w:themeColor="accent3"/>
          <w:right w:val="single" w:sz="8" w:space="0" w:color="4B97CD" w:themeColor="accent3"/>
        </w:tcBorders>
        <w:shd w:val="clear" w:color="auto" w:fill="D2E5F2" w:themeFill="accent3" w:themeFillTint="3F"/>
      </w:tcPr>
    </w:tblStylePr>
    <w:tblStylePr w:type="band1Horz">
      <w:tblPr/>
      <w:tcPr>
        <w:tcBorders>
          <w:top w:val="single" w:sz="8" w:space="0" w:color="4B97CD" w:themeColor="accent3"/>
          <w:left w:val="single" w:sz="8" w:space="0" w:color="4B97CD" w:themeColor="accent3"/>
          <w:bottom w:val="single" w:sz="8" w:space="0" w:color="4B97CD" w:themeColor="accent3"/>
          <w:right w:val="single" w:sz="8" w:space="0" w:color="4B97CD" w:themeColor="accent3"/>
          <w:insideV w:val="single" w:sz="8" w:space="0" w:color="4B97CD" w:themeColor="accent3"/>
        </w:tcBorders>
        <w:shd w:val="clear" w:color="auto" w:fill="D2E5F2" w:themeFill="accent3" w:themeFillTint="3F"/>
      </w:tcPr>
    </w:tblStylePr>
    <w:tblStylePr w:type="band2Horz">
      <w:tblPr/>
      <w:tcPr>
        <w:tcBorders>
          <w:top w:val="single" w:sz="8" w:space="0" w:color="4B97CD" w:themeColor="accent3"/>
          <w:left w:val="single" w:sz="8" w:space="0" w:color="4B97CD" w:themeColor="accent3"/>
          <w:bottom w:val="single" w:sz="8" w:space="0" w:color="4B97CD" w:themeColor="accent3"/>
          <w:right w:val="single" w:sz="8" w:space="0" w:color="4B97CD" w:themeColor="accent3"/>
          <w:insideV w:val="single" w:sz="8" w:space="0" w:color="4B97CD" w:themeColor="accent3"/>
        </w:tcBorders>
      </w:tcPr>
    </w:tblStylePr>
  </w:style>
  <w:style w:type="table" w:styleId="Grilleclaire-Accent4">
    <w:name w:val="Light Grid Accent 4"/>
    <w:basedOn w:val="TableauNormal"/>
    <w:uiPriority w:val="62"/>
    <w:semiHidden/>
    <w:unhideWhenUsed/>
    <w:rsid w:val="00924684"/>
    <w:pPr>
      <w:spacing w:after="0" w:line="240" w:lineRule="auto"/>
    </w:pPr>
    <w:tblPr>
      <w:tblStyleRowBandSize w:val="1"/>
      <w:tblStyleColBandSize w:val="1"/>
      <w:tblBorders>
        <w:top w:val="single" w:sz="8" w:space="0" w:color="2F7F85" w:themeColor="accent4"/>
        <w:left w:val="single" w:sz="8" w:space="0" w:color="2F7F85" w:themeColor="accent4"/>
        <w:bottom w:val="single" w:sz="8" w:space="0" w:color="2F7F85" w:themeColor="accent4"/>
        <w:right w:val="single" w:sz="8" w:space="0" w:color="2F7F85" w:themeColor="accent4"/>
        <w:insideH w:val="single" w:sz="8" w:space="0" w:color="2F7F85" w:themeColor="accent4"/>
        <w:insideV w:val="single" w:sz="8" w:space="0" w:color="2F7F8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F7F85" w:themeColor="accent4"/>
          <w:left w:val="single" w:sz="8" w:space="0" w:color="2F7F85" w:themeColor="accent4"/>
          <w:bottom w:val="single" w:sz="18" w:space="0" w:color="2F7F85" w:themeColor="accent4"/>
          <w:right w:val="single" w:sz="8" w:space="0" w:color="2F7F85" w:themeColor="accent4"/>
          <w:insideH w:val="nil"/>
          <w:insideV w:val="single" w:sz="8" w:space="0" w:color="2F7F8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F7F85" w:themeColor="accent4"/>
          <w:left w:val="single" w:sz="8" w:space="0" w:color="2F7F85" w:themeColor="accent4"/>
          <w:bottom w:val="single" w:sz="8" w:space="0" w:color="2F7F85" w:themeColor="accent4"/>
          <w:right w:val="single" w:sz="8" w:space="0" w:color="2F7F85" w:themeColor="accent4"/>
          <w:insideH w:val="nil"/>
          <w:insideV w:val="single" w:sz="8" w:space="0" w:color="2F7F8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F7F85" w:themeColor="accent4"/>
          <w:left w:val="single" w:sz="8" w:space="0" w:color="2F7F85" w:themeColor="accent4"/>
          <w:bottom w:val="single" w:sz="8" w:space="0" w:color="2F7F85" w:themeColor="accent4"/>
          <w:right w:val="single" w:sz="8" w:space="0" w:color="2F7F85" w:themeColor="accent4"/>
        </w:tcBorders>
      </w:tcPr>
    </w:tblStylePr>
    <w:tblStylePr w:type="band1Vert">
      <w:tblPr/>
      <w:tcPr>
        <w:tcBorders>
          <w:top w:val="single" w:sz="8" w:space="0" w:color="2F7F85" w:themeColor="accent4"/>
          <w:left w:val="single" w:sz="8" w:space="0" w:color="2F7F85" w:themeColor="accent4"/>
          <w:bottom w:val="single" w:sz="8" w:space="0" w:color="2F7F85" w:themeColor="accent4"/>
          <w:right w:val="single" w:sz="8" w:space="0" w:color="2F7F85" w:themeColor="accent4"/>
        </w:tcBorders>
        <w:shd w:val="clear" w:color="auto" w:fill="C2E7E9" w:themeFill="accent4" w:themeFillTint="3F"/>
      </w:tcPr>
    </w:tblStylePr>
    <w:tblStylePr w:type="band1Horz">
      <w:tblPr/>
      <w:tcPr>
        <w:tcBorders>
          <w:top w:val="single" w:sz="8" w:space="0" w:color="2F7F85" w:themeColor="accent4"/>
          <w:left w:val="single" w:sz="8" w:space="0" w:color="2F7F85" w:themeColor="accent4"/>
          <w:bottom w:val="single" w:sz="8" w:space="0" w:color="2F7F85" w:themeColor="accent4"/>
          <w:right w:val="single" w:sz="8" w:space="0" w:color="2F7F85" w:themeColor="accent4"/>
          <w:insideV w:val="single" w:sz="8" w:space="0" w:color="2F7F85" w:themeColor="accent4"/>
        </w:tcBorders>
        <w:shd w:val="clear" w:color="auto" w:fill="C2E7E9" w:themeFill="accent4" w:themeFillTint="3F"/>
      </w:tcPr>
    </w:tblStylePr>
    <w:tblStylePr w:type="band2Horz">
      <w:tblPr/>
      <w:tcPr>
        <w:tcBorders>
          <w:top w:val="single" w:sz="8" w:space="0" w:color="2F7F85" w:themeColor="accent4"/>
          <w:left w:val="single" w:sz="8" w:space="0" w:color="2F7F85" w:themeColor="accent4"/>
          <w:bottom w:val="single" w:sz="8" w:space="0" w:color="2F7F85" w:themeColor="accent4"/>
          <w:right w:val="single" w:sz="8" w:space="0" w:color="2F7F85" w:themeColor="accent4"/>
          <w:insideV w:val="single" w:sz="8" w:space="0" w:color="2F7F85" w:themeColor="accent4"/>
        </w:tcBorders>
      </w:tcPr>
    </w:tblStylePr>
  </w:style>
  <w:style w:type="table" w:styleId="Grilleclaire-Accent5">
    <w:name w:val="Light Grid Accent 5"/>
    <w:basedOn w:val="TableauNormal"/>
    <w:uiPriority w:val="62"/>
    <w:semiHidden/>
    <w:unhideWhenUsed/>
    <w:rsid w:val="00924684"/>
    <w:pPr>
      <w:spacing w:after="0" w:line="240" w:lineRule="auto"/>
    </w:pPr>
    <w:tblPr>
      <w:tblStyleRowBandSize w:val="1"/>
      <w:tblStyleColBandSize w:val="1"/>
      <w:tblBorders>
        <w:top w:val="single" w:sz="8" w:space="0" w:color="FABC21" w:themeColor="accent5"/>
        <w:left w:val="single" w:sz="8" w:space="0" w:color="FABC21" w:themeColor="accent5"/>
        <w:bottom w:val="single" w:sz="8" w:space="0" w:color="FABC21" w:themeColor="accent5"/>
        <w:right w:val="single" w:sz="8" w:space="0" w:color="FABC21" w:themeColor="accent5"/>
        <w:insideH w:val="single" w:sz="8" w:space="0" w:color="FABC21" w:themeColor="accent5"/>
        <w:insideV w:val="single" w:sz="8" w:space="0" w:color="FABC21"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ABC21" w:themeColor="accent5"/>
          <w:left w:val="single" w:sz="8" w:space="0" w:color="FABC21" w:themeColor="accent5"/>
          <w:bottom w:val="single" w:sz="18" w:space="0" w:color="FABC21" w:themeColor="accent5"/>
          <w:right w:val="single" w:sz="8" w:space="0" w:color="FABC21" w:themeColor="accent5"/>
          <w:insideH w:val="nil"/>
          <w:insideV w:val="single" w:sz="8" w:space="0" w:color="FABC21"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ABC21" w:themeColor="accent5"/>
          <w:left w:val="single" w:sz="8" w:space="0" w:color="FABC21" w:themeColor="accent5"/>
          <w:bottom w:val="single" w:sz="8" w:space="0" w:color="FABC21" w:themeColor="accent5"/>
          <w:right w:val="single" w:sz="8" w:space="0" w:color="FABC21" w:themeColor="accent5"/>
          <w:insideH w:val="nil"/>
          <w:insideV w:val="single" w:sz="8" w:space="0" w:color="FABC21"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ABC21" w:themeColor="accent5"/>
          <w:left w:val="single" w:sz="8" w:space="0" w:color="FABC21" w:themeColor="accent5"/>
          <w:bottom w:val="single" w:sz="8" w:space="0" w:color="FABC21" w:themeColor="accent5"/>
          <w:right w:val="single" w:sz="8" w:space="0" w:color="FABC21" w:themeColor="accent5"/>
        </w:tcBorders>
      </w:tcPr>
    </w:tblStylePr>
    <w:tblStylePr w:type="band1Vert">
      <w:tblPr/>
      <w:tcPr>
        <w:tcBorders>
          <w:top w:val="single" w:sz="8" w:space="0" w:color="FABC21" w:themeColor="accent5"/>
          <w:left w:val="single" w:sz="8" w:space="0" w:color="FABC21" w:themeColor="accent5"/>
          <w:bottom w:val="single" w:sz="8" w:space="0" w:color="FABC21" w:themeColor="accent5"/>
          <w:right w:val="single" w:sz="8" w:space="0" w:color="FABC21" w:themeColor="accent5"/>
        </w:tcBorders>
        <w:shd w:val="clear" w:color="auto" w:fill="FDEEC7" w:themeFill="accent5" w:themeFillTint="3F"/>
      </w:tcPr>
    </w:tblStylePr>
    <w:tblStylePr w:type="band1Horz">
      <w:tblPr/>
      <w:tcPr>
        <w:tcBorders>
          <w:top w:val="single" w:sz="8" w:space="0" w:color="FABC21" w:themeColor="accent5"/>
          <w:left w:val="single" w:sz="8" w:space="0" w:color="FABC21" w:themeColor="accent5"/>
          <w:bottom w:val="single" w:sz="8" w:space="0" w:color="FABC21" w:themeColor="accent5"/>
          <w:right w:val="single" w:sz="8" w:space="0" w:color="FABC21" w:themeColor="accent5"/>
          <w:insideV w:val="single" w:sz="8" w:space="0" w:color="FABC21" w:themeColor="accent5"/>
        </w:tcBorders>
        <w:shd w:val="clear" w:color="auto" w:fill="FDEEC7" w:themeFill="accent5" w:themeFillTint="3F"/>
      </w:tcPr>
    </w:tblStylePr>
    <w:tblStylePr w:type="band2Horz">
      <w:tblPr/>
      <w:tcPr>
        <w:tcBorders>
          <w:top w:val="single" w:sz="8" w:space="0" w:color="FABC21" w:themeColor="accent5"/>
          <w:left w:val="single" w:sz="8" w:space="0" w:color="FABC21" w:themeColor="accent5"/>
          <w:bottom w:val="single" w:sz="8" w:space="0" w:color="FABC21" w:themeColor="accent5"/>
          <w:right w:val="single" w:sz="8" w:space="0" w:color="FABC21" w:themeColor="accent5"/>
          <w:insideV w:val="single" w:sz="8" w:space="0" w:color="FABC21" w:themeColor="accent5"/>
        </w:tcBorders>
      </w:tcPr>
    </w:tblStylePr>
  </w:style>
  <w:style w:type="table" w:styleId="Grilleclaire-Accent6">
    <w:name w:val="Light Grid Accent 6"/>
    <w:basedOn w:val="TableauNormal"/>
    <w:uiPriority w:val="62"/>
    <w:semiHidden/>
    <w:unhideWhenUsed/>
    <w:rsid w:val="00924684"/>
    <w:pPr>
      <w:spacing w:after="0" w:line="240" w:lineRule="auto"/>
    </w:pPr>
    <w:tblPr>
      <w:tblStyleRowBandSize w:val="1"/>
      <w:tblStyleColBandSize w:val="1"/>
      <w:tblBorders>
        <w:top w:val="single" w:sz="8" w:space="0" w:color="D7418D" w:themeColor="accent6"/>
        <w:left w:val="single" w:sz="8" w:space="0" w:color="D7418D" w:themeColor="accent6"/>
        <w:bottom w:val="single" w:sz="8" w:space="0" w:color="D7418D" w:themeColor="accent6"/>
        <w:right w:val="single" w:sz="8" w:space="0" w:color="D7418D" w:themeColor="accent6"/>
        <w:insideH w:val="single" w:sz="8" w:space="0" w:color="D7418D" w:themeColor="accent6"/>
        <w:insideV w:val="single" w:sz="8" w:space="0" w:color="D7418D"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D7418D" w:themeColor="accent6"/>
          <w:left w:val="single" w:sz="8" w:space="0" w:color="D7418D" w:themeColor="accent6"/>
          <w:bottom w:val="single" w:sz="18" w:space="0" w:color="D7418D" w:themeColor="accent6"/>
          <w:right w:val="single" w:sz="8" w:space="0" w:color="D7418D" w:themeColor="accent6"/>
          <w:insideH w:val="nil"/>
          <w:insideV w:val="single" w:sz="8" w:space="0" w:color="D7418D"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D7418D" w:themeColor="accent6"/>
          <w:left w:val="single" w:sz="8" w:space="0" w:color="D7418D" w:themeColor="accent6"/>
          <w:bottom w:val="single" w:sz="8" w:space="0" w:color="D7418D" w:themeColor="accent6"/>
          <w:right w:val="single" w:sz="8" w:space="0" w:color="D7418D" w:themeColor="accent6"/>
          <w:insideH w:val="nil"/>
          <w:insideV w:val="single" w:sz="8" w:space="0" w:color="D7418D"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D7418D" w:themeColor="accent6"/>
          <w:left w:val="single" w:sz="8" w:space="0" w:color="D7418D" w:themeColor="accent6"/>
          <w:bottom w:val="single" w:sz="8" w:space="0" w:color="D7418D" w:themeColor="accent6"/>
          <w:right w:val="single" w:sz="8" w:space="0" w:color="D7418D" w:themeColor="accent6"/>
        </w:tcBorders>
      </w:tcPr>
    </w:tblStylePr>
    <w:tblStylePr w:type="band1Vert">
      <w:tblPr/>
      <w:tcPr>
        <w:tcBorders>
          <w:top w:val="single" w:sz="8" w:space="0" w:color="D7418D" w:themeColor="accent6"/>
          <w:left w:val="single" w:sz="8" w:space="0" w:color="D7418D" w:themeColor="accent6"/>
          <w:bottom w:val="single" w:sz="8" w:space="0" w:color="D7418D" w:themeColor="accent6"/>
          <w:right w:val="single" w:sz="8" w:space="0" w:color="D7418D" w:themeColor="accent6"/>
        </w:tcBorders>
        <w:shd w:val="clear" w:color="auto" w:fill="F5CFE2" w:themeFill="accent6" w:themeFillTint="3F"/>
      </w:tcPr>
    </w:tblStylePr>
    <w:tblStylePr w:type="band1Horz">
      <w:tblPr/>
      <w:tcPr>
        <w:tcBorders>
          <w:top w:val="single" w:sz="8" w:space="0" w:color="D7418D" w:themeColor="accent6"/>
          <w:left w:val="single" w:sz="8" w:space="0" w:color="D7418D" w:themeColor="accent6"/>
          <w:bottom w:val="single" w:sz="8" w:space="0" w:color="D7418D" w:themeColor="accent6"/>
          <w:right w:val="single" w:sz="8" w:space="0" w:color="D7418D" w:themeColor="accent6"/>
          <w:insideV w:val="single" w:sz="8" w:space="0" w:color="D7418D" w:themeColor="accent6"/>
        </w:tcBorders>
        <w:shd w:val="clear" w:color="auto" w:fill="F5CFE2" w:themeFill="accent6" w:themeFillTint="3F"/>
      </w:tcPr>
    </w:tblStylePr>
    <w:tblStylePr w:type="band2Horz">
      <w:tblPr/>
      <w:tcPr>
        <w:tcBorders>
          <w:top w:val="single" w:sz="8" w:space="0" w:color="D7418D" w:themeColor="accent6"/>
          <w:left w:val="single" w:sz="8" w:space="0" w:color="D7418D" w:themeColor="accent6"/>
          <w:bottom w:val="single" w:sz="8" w:space="0" w:color="D7418D" w:themeColor="accent6"/>
          <w:right w:val="single" w:sz="8" w:space="0" w:color="D7418D" w:themeColor="accent6"/>
          <w:insideV w:val="single" w:sz="8" w:space="0" w:color="D7418D" w:themeColor="accent6"/>
        </w:tcBorders>
      </w:tcPr>
    </w:tblStylePr>
  </w:style>
  <w:style w:type="table" w:styleId="Listeclaire">
    <w:name w:val="Light List"/>
    <w:basedOn w:val="TableauNormal"/>
    <w:uiPriority w:val="61"/>
    <w:semiHidden/>
    <w:unhideWhenUsed/>
    <w:rsid w:val="0092468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steclaire-Accent1">
    <w:name w:val="Light List Accent 1"/>
    <w:basedOn w:val="TableauNormal"/>
    <w:uiPriority w:val="61"/>
    <w:rsid w:val="00924684"/>
    <w:pPr>
      <w:spacing w:after="0" w:line="240" w:lineRule="auto"/>
    </w:pPr>
    <w:tblPr>
      <w:tblStyleRowBandSize w:val="1"/>
      <w:tblStyleColBandSize w:val="1"/>
      <w:tblBorders>
        <w:top w:val="single" w:sz="8" w:space="0" w:color="E6443C" w:themeColor="accent1"/>
        <w:left w:val="single" w:sz="8" w:space="0" w:color="E6443C" w:themeColor="accent1"/>
        <w:bottom w:val="single" w:sz="8" w:space="0" w:color="E6443C" w:themeColor="accent1"/>
        <w:right w:val="single" w:sz="8" w:space="0" w:color="E6443C" w:themeColor="accent1"/>
      </w:tblBorders>
    </w:tblPr>
    <w:tblStylePr w:type="firstRow">
      <w:pPr>
        <w:spacing w:before="0" w:after="0" w:line="240" w:lineRule="auto"/>
      </w:pPr>
      <w:rPr>
        <w:b/>
        <w:bCs/>
        <w:color w:val="FFFFFF" w:themeColor="background1"/>
      </w:rPr>
      <w:tblPr/>
      <w:tcPr>
        <w:shd w:val="clear" w:color="auto" w:fill="E6443C" w:themeFill="accent1"/>
      </w:tcPr>
    </w:tblStylePr>
    <w:tblStylePr w:type="lastRow">
      <w:pPr>
        <w:spacing w:before="0" w:after="0" w:line="240" w:lineRule="auto"/>
      </w:pPr>
      <w:rPr>
        <w:b/>
        <w:bCs/>
      </w:rPr>
      <w:tblPr/>
      <w:tcPr>
        <w:tcBorders>
          <w:top w:val="double" w:sz="6" w:space="0" w:color="E6443C" w:themeColor="accent1"/>
          <w:left w:val="single" w:sz="8" w:space="0" w:color="E6443C" w:themeColor="accent1"/>
          <w:bottom w:val="single" w:sz="8" w:space="0" w:color="E6443C" w:themeColor="accent1"/>
          <w:right w:val="single" w:sz="8" w:space="0" w:color="E6443C" w:themeColor="accent1"/>
        </w:tcBorders>
      </w:tcPr>
    </w:tblStylePr>
    <w:tblStylePr w:type="firstCol">
      <w:rPr>
        <w:b/>
        <w:bCs/>
      </w:rPr>
    </w:tblStylePr>
    <w:tblStylePr w:type="lastCol">
      <w:rPr>
        <w:b/>
        <w:bCs/>
      </w:rPr>
    </w:tblStylePr>
    <w:tblStylePr w:type="band1Vert">
      <w:tblPr/>
      <w:tcPr>
        <w:tcBorders>
          <w:top w:val="single" w:sz="8" w:space="0" w:color="E6443C" w:themeColor="accent1"/>
          <w:left w:val="single" w:sz="8" w:space="0" w:color="E6443C" w:themeColor="accent1"/>
          <w:bottom w:val="single" w:sz="8" w:space="0" w:color="E6443C" w:themeColor="accent1"/>
          <w:right w:val="single" w:sz="8" w:space="0" w:color="E6443C" w:themeColor="accent1"/>
        </w:tcBorders>
      </w:tcPr>
    </w:tblStylePr>
    <w:tblStylePr w:type="band1Horz">
      <w:tblPr/>
      <w:tcPr>
        <w:tcBorders>
          <w:top w:val="single" w:sz="8" w:space="0" w:color="E6443C" w:themeColor="accent1"/>
          <w:left w:val="single" w:sz="8" w:space="0" w:color="E6443C" w:themeColor="accent1"/>
          <w:bottom w:val="single" w:sz="8" w:space="0" w:color="E6443C" w:themeColor="accent1"/>
          <w:right w:val="single" w:sz="8" w:space="0" w:color="E6443C" w:themeColor="accent1"/>
        </w:tcBorders>
      </w:tcPr>
    </w:tblStylePr>
  </w:style>
  <w:style w:type="table" w:styleId="Listeclaire-Accent2">
    <w:name w:val="Light List Accent 2"/>
    <w:basedOn w:val="TableauNormal"/>
    <w:uiPriority w:val="61"/>
    <w:semiHidden/>
    <w:unhideWhenUsed/>
    <w:rsid w:val="00924684"/>
    <w:pPr>
      <w:spacing w:after="0" w:line="240" w:lineRule="auto"/>
    </w:pPr>
    <w:tblPr>
      <w:tblStyleRowBandSize w:val="1"/>
      <w:tblStyleColBandSize w:val="1"/>
      <w:tblBorders>
        <w:top w:val="single" w:sz="8" w:space="0" w:color="A6589A" w:themeColor="accent2"/>
        <w:left w:val="single" w:sz="8" w:space="0" w:color="A6589A" w:themeColor="accent2"/>
        <w:bottom w:val="single" w:sz="8" w:space="0" w:color="A6589A" w:themeColor="accent2"/>
        <w:right w:val="single" w:sz="8" w:space="0" w:color="A6589A" w:themeColor="accent2"/>
      </w:tblBorders>
    </w:tblPr>
    <w:tblStylePr w:type="firstRow">
      <w:pPr>
        <w:spacing w:before="0" w:after="0" w:line="240" w:lineRule="auto"/>
      </w:pPr>
      <w:rPr>
        <w:b/>
        <w:bCs/>
        <w:color w:val="FFFFFF" w:themeColor="background1"/>
      </w:rPr>
      <w:tblPr/>
      <w:tcPr>
        <w:shd w:val="clear" w:color="auto" w:fill="A6589A" w:themeFill="accent2"/>
      </w:tcPr>
    </w:tblStylePr>
    <w:tblStylePr w:type="lastRow">
      <w:pPr>
        <w:spacing w:before="0" w:after="0" w:line="240" w:lineRule="auto"/>
      </w:pPr>
      <w:rPr>
        <w:b/>
        <w:bCs/>
      </w:rPr>
      <w:tblPr/>
      <w:tcPr>
        <w:tcBorders>
          <w:top w:val="double" w:sz="6" w:space="0" w:color="A6589A" w:themeColor="accent2"/>
          <w:left w:val="single" w:sz="8" w:space="0" w:color="A6589A" w:themeColor="accent2"/>
          <w:bottom w:val="single" w:sz="8" w:space="0" w:color="A6589A" w:themeColor="accent2"/>
          <w:right w:val="single" w:sz="8" w:space="0" w:color="A6589A" w:themeColor="accent2"/>
        </w:tcBorders>
      </w:tcPr>
    </w:tblStylePr>
    <w:tblStylePr w:type="firstCol">
      <w:rPr>
        <w:b/>
        <w:bCs/>
      </w:rPr>
    </w:tblStylePr>
    <w:tblStylePr w:type="lastCol">
      <w:rPr>
        <w:b/>
        <w:bCs/>
      </w:rPr>
    </w:tblStylePr>
    <w:tblStylePr w:type="band1Vert">
      <w:tblPr/>
      <w:tcPr>
        <w:tcBorders>
          <w:top w:val="single" w:sz="8" w:space="0" w:color="A6589A" w:themeColor="accent2"/>
          <w:left w:val="single" w:sz="8" w:space="0" w:color="A6589A" w:themeColor="accent2"/>
          <w:bottom w:val="single" w:sz="8" w:space="0" w:color="A6589A" w:themeColor="accent2"/>
          <w:right w:val="single" w:sz="8" w:space="0" w:color="A6589A" w:themeColor="accent2"/>
        </w:tcBorders>
      </w:tcPr>
    </w:tblStylePr>
    <w:tblStylePr w:type="band1Horz">
      <w:tblPr/>
      <w:tcPr>
        <w:tcBorders>
          <w:top w:val="single" w:sz="8" w:space="0" w:color="A6589A" w:themeColor="accent2"/>
          <w:left w:val="single" w:sz="8" w:space="0" w:color="A6589A" w:themeColor="accent2"/>
          <w:bottom w:val="single" w:sz="8" w:space="0" w:color="A6589A" w:themeColor="accent2"/>
          <w:right w:val="single" w:sz="8" w:space="0" w:color="A6589A" w:themeColor="accent2"/>
        </w:tcBorders>
      </w:tcPr>
    </w:tblStylePr>
  </w:style>
  <w:style w:type="table" w:styleId="Listeclaire-Accent3">
    <w:name w:val="Light List Accent 3"/>
    <w:basedOn w:val="TableauNormal"/>
    <w:uiPriority w:val="61"/>
    <w:semiHidden/>
    <w:unhideWhenUsed/>
    <w:rsid w:val="00924684"/>
    <w:pPr>
      <w:spacing w:after="0" w:line="240" w:lineRule="auto"/>
    </w:pPr>
    <w:tblPr>
      <w:tblStyleRowBandSize w:val="1"/>
      <w:tblStyleColBandSize w:val="1"/>
      <w:tblBorders>
        <w:top w:val="single" w:sz="8" w:space="0" w:color="4B97CD" w:themeColor="accent3"/>
        <w:left w:val="single" w:sz="8" w:space="0" w:color="4B97CD" w:themeColor="accent3"/>
        <w:bottom w:val="single" w:sz="8" w:space="0" w:color="4B97CD" w:themeColor="accent3"/>
        <w:right w:val="single" w:sz="8" w:space="0" w:color="4B97CD" w:themeColor="accent3"/>
      </w:tblBorders>
    </w:tblPr>
    <w:tblStylePr w:type="firstRow">
      <w:pPr>
        <w:spacing w:before="0" w:after="0" w:line="240" w:lineRule="auto"/>
      </w:pPr>
      <w:rPr>
        <w:b/>
        <w:bCs/>
        <w:color w:val="FFFFFF" w:themeColor="background1"/>
      </w:rPr>
      <w:tblPr/>
      <w:tcPr>
        <w:shd w:val="clear" w:color="auto" w:fill="4B97CD" w:themeFill="accent3"/>
      </w:tcPr>
    </w:tblStylePr>
    <w:tblStylePr w:type="lastRow">
      <w:pPr>
        <w:spacing w:before="0" w:after="0" w:line="240" w:lineRule="auto"/>
      </w:pPr>
      <w:rPr>
        <w:b/>
        <w:bCs/>
      </w:rPr>
      <w:tblPr/>
      <w:tcPr>
        <w:tcBorders>
          <w:top w:val="double" w:sz="6" w:space="0" w:color="4B97CD" w:themeColor="accent3"/>
          <w:left w:val="single" w:sz="8" w:space="0" w:color="4B97CD" w:themeColor="accent3"/>
          <w:bottom w:val="single" w:sz="8" w:space="0" w:color="4B97CD" w:themeColor="accent3"/>
          <w:right w:val="single" w:sz="8" w:space="0" w:color="4B97CD" w:themeColor="accent3"/>
        </w:tcBorders>
      </w:tcPr>
    </w:tblStylePr>
    <w:tblStylePr w:type="firstCol">
      <w:rPr>
        <w:b/>
        <w:bCs/>
      </w:rPr>
    </w:tblStylePr>
    <w:tblStylePr w:type="lastCol">
      <w:rPr>
        <w:b/>
        <w:bCs/>
      </w:rPr>
    </w:tblStylePr>
    <w:tblStylePr w:type="band1Vert">
      <w:tblPr/>
      <w:tcPr>
        <w:tcBorders>
          <w:top w:val="single" w:sz="8" w:space="0" w:color="4B97CD" w:themeColor="accent3"/>
          <w:left w:val="single" w:sz="8" w:space="0" w:color="4B97CD" w:themeColor="accent3"/>
          <w:bottom w:val="single" w:sz="8" w:space="0" w:color="4B97CD" w:themeColor="accent3"/>
          <w:right w:val="single" w:sz="8" w:space="0" w:color="4B97CD" w:themeColor="accent3"/>
        </w:tcBorders>
      </w:tcPr>
    </w:tblStylePr>
    <w:tblStylePr w:type="band1Horz">
      <w:tblPr/>
      <w:tcPr>
        <w:tcBorders>
          <w:top w:val="single" w:sz="8" w:space="0" w:color="4B97CD" w:themeColor="accent3"/>
          <w:left w:val="single" w:sz="8" w:space="0" w:color="4B97CD" w:themeColor="accent3"/>
          <w:bottom w:val="single" w:sz="8" w:space="0" w:color="4B97CD" w:themeColor="accent3"/>
          <w:right w:val="single" w:sz="8" w:space="0" w:color="4B97CD" w:themeColor="accent3"/>
        </w:tcBorders>
      </w:tcPr>
    </w:tblStylePr>
  </w:style>
  <w:style w:type="table" w:styleId="Listeclaire-Accent4">
    <w:name w:val="Light List Accent 4"/>
    <w:basedOn w:val="TableauNormal"/>
    <w:uiPriority w:val="61"/>
    <w:semiHidden/>
    <w:unhideWhenUsed/>
    <w:rsid w:val="00924684"/>
    <w:pPr>
      <w:spacing w:after="0" w:line="240" w:lineRule="auto"/>
    </w:pPr>
    <w:tblPr>
      <w:tblStyleRowBandSize w:val="1"/>
      <w:tblStyleColBandSize w:val="1"/>
      <w:tblBorders>
        <w:top w:val="single" w:sz="8" w:space="0" w:color="2F7F85" w:themeColor="accent4"/>
        <w:left w:val="single" w:sz="8" w:space="0" w:color="2F7F85" w:themeColor="accent4"/>
        <w:bottom w:val="single" w:sz="8" w:space="0" w:color="2F7F85" w:themeColor="accent4"/>
        <w:right w:val="single" w:sz="8" w:space="0" w:color="2F7F85" w:themeColor="accent4"/>
      </w:tblBorders>
    </w:tblPr>
    <w:tblStylePr w:type="firstRow">
      <w:pPr>
        <w:spacing w:before="0" w:after="0" w:line="240" w:lineRule="auto"/>
      </w:pPr>
      <w:rPr>
        <w:b/>
        <w:bCs/>
        <w:color w:val="FFFFFF" w:themeColor="background1"/>
      </w:rPr>
      <w:tblPr/>
      <w:tcPr>
        <w:shd w:val="clear" w:color="auto" w:fill="2F7F85" w:themeFill="accent4"/>
      </w:tcPr>
    </w:tblStylePr>
    <w:tblStylePr w:type="lastRow">
      <w:pPr>
        <w:spacing w:before="0" w:after="0" w:line="240" w:lineRule="auto"/>
      </w:pPr>
      <w:rPr>
        <w:b/>
        <w:bCs/>
      </w:rPr>
      <w:tblPr/>
      <w:tcPr>
        <w:tcBorders>
          <w:top w:val="double" w:sz="6" w:space="0" w:color="2F7F85" w:themeColor="accent4"/>
          <w:left w:val="single" w:sz="8" w:space="0" w:color="2F7F85" w:themeColor="accent4"/>
          <w:bottom w:val="single" w:sz="8" w:space="0" w:color="2F7F85" w:themeColor="accent4"/>
          <w:right w:val="single" w:sz="8" w:space="0" w:color="2F7F85" w:themeColor="accent4"/>
        </w:tcBorders>
      </w:tcPr>
    </w:tblStylePr>
    <w:tblStylePr w:type="firstCol">
      <w:rPr>
        <w:b/>
        <w:bCs/>
      </w:rPr>
    </w:tblStylePr>
    <w:tblStylePr w:type="lastCol">
      <w:rPr>
        <w:b/>
        <w:bCs/>
      </w:rPr>
    </w:tblStylePr>
    <w:tblStylePr w:type="band1Vert">
      <w:tblPr/>
      <w:tcPr>
        <w:tcBorders>
          <w:top w:val="single" w:sz="8" w:space="0" w:color="2F7F85" w:themeColor="accent4"/>
          <w:left w:val="single" w:sz="8" w:space="0" w:color="2F7F85" w:themeColor="accent4"/>
          <w:bottom w:val="single" w:sz="8" w:space="0" w:color="2F7F85" w:themeColor="accent4"/>
          <w:right w:val="single" w:sz="8" w:space="0" w:color="2F7F85" w:themeColor="accent4"/>
        </w:tcBorders>
      </w:tcPr>
    </w:tblStylePr>
    <w:tblStylePr w:type="band1Horz">
      <w:tblPr/>
      <w:tcPr>
        <w:tcBorders>
          <w:top w:val="single" w:sz="8" w:space="0" w:color="2F7F85" w:themeColor="accent4"/>
          <w:left w:val="single" w:sz="8" w:space="0" w:color="2F7F85" w:themeColor="accent4"/>
          <w:bottom w:val="single" w:sz="8" w:space="0" w:color="2F7F85" w:themeColor="accent4"/>
          <w:right w:val="single" w:sz="8" w:space="0" w:color="2F7F85" w:themeColor="accent4"/>
        </w:tcBorders>
      </w:tcPr>
    </w:tblStylePr>
  </w:style>
  <w:style w:type="table" w:styleId="Listeclaire-Accent5">
    <w:name w:val="Light List Accent 5"/>
    <w:basedOn w:val="TableauNormal"/>
    <w:uiPriority w:val="61"/>
    <w:semiHidden/>
    <w:unhideWhenUsed/>
    <w:rsid w:val="00924684"/>
    <w:pPr>
      <w:spacing w:after="0" w:line="240" w:lineRule="auto"/>
    </w:pPr>
    <w:tblPr>
      <w:tblStyleRowBandSize w:val="1"/>
      <w:tblStyleColBandSize w:val="1"/>
      <w:tblBorders>
        <w:top w:val="single" w:sz="8" w:space="0" w:color="FABC21" w:themeColor="accent5"/>
        <w:left w:val="single" w:sz="8" w:space="0" w:color="FABC21" w:themeColor="accent5"/>
        <w:bottom w:val="single" w:sz="8" w:space="0" w:color="FABC21" w:themeColor="accent5"/>
        <w:right w:val="single" w:sz="8" w:space="0" w:color="FABC21" w:themeColor="accent5"/>
      </w:tblBorders>
    </w:tblPr>
    <w:tblStylePr w:type="firstRow">
      <w:pPr>
        <w:spacing w:before="0" w:after="0" w:line="240" w:lineRule="auto"/>
      </w:pPr>
      <w:rPr>
        <w:b/>
        <w:bCs/>
        <w:color w:val="FFFFFF" w:themeColor="background1"/>
      </w:rPr>
      <w:tblPr/>
      <w:tcPr>
        <w:shd w:val="clear" w:color="auto" w:fill="FABC21" w:themeFill="accent5"/>
      </w:tcPr>
    </w:tblStylePr>
    <w:tblStylePr w:type="lastRow">
      <w:pPr>
        <w:spacing w:before="0" w:after="0" w:line="240" w:lineRule="auto"/>
      </w:pPr>
      <w:rPr>
        <w:b/>
        <w:bCs/>
      </w:rPr>
      <w:tblPr/>
      <w:tcPr>
        <w:tcBorders>
          <w:top w:val="double" w:sz="6" w:space="0" w:color="FABC21" w:themeColor="accent5"/>
          <w:left w:val="single" w:sz="8" w:space="0" w:color="FABC21" w:themeColor="accent5"/>
          <w:bottom w:val="single" w:sz="8" w:space="0" w:color="FABC21" w:themeColor="accent5"/>
          <w:right w:val="single" w:sz="8" w:space="0" w:color="FABC21" w:themeColor="accent5"/>
        </w:tcBorders>
      </w:tcPr>
    </w:tblStylePr>
    <w:tblStylePr w:type="firstCol">
      <w:rPr>
        <w:b/>
        <w:bCs/>
      </w:rPr>
    </w:tblStylePr>
    <w:tblStylePr w:type="lastCol">
      <w:rPr>
        <w:b/>
        <w:bCs/>
      </w:rPr>
    </w:tblStylePr>
    <w:tblStylePr w:type="band1Vert">
      <w:tblPr/>
      <w:tcPr>
        <w:tcBorders>
          <w:top w:val="single" w:sz="8" w:space="0" w:color="FABC21" w:themeColor="accent5"/>
          <w:left w:val="single" w:sz="8" w:space="0" w:color="FABC21" w:themeColor="accent5"/>
          <w:bottom w:val="single" w:sz="8" w:space="0" w:color="FABC21" w:themeColor="accent5"/>
          <w:right w:val="single" w:sz="8" w:space="0" w:color="FABC21" w:themeColor="accent5"/>
        </w:tcBorders>
      </w:tcPr>
    </w:tblStylePr>
    <w:tblStylePr w:type="band1Horz">
      <w:tblPr/>
      <w:tcPr>
        <w:tcBorders>
          <w:top w:val="single" w:sz="8" w:space="0" w:color="FABC21" w:themeColor="accent5"/>
          <w:left w:val="single" w:sz="8" w:space="0" w:color="FABC21" w:themeColor="accent5"/>
          <w:bottom w:val="single" w:sz="8" w:space="0" w:color="FABC21" w:themeColor="accent5"/>
          <w:right w:val="single" w:sz="8" w:space="0" w:color="FABC21" w:themeColor="accent5"/>
        </w:tcBorders>
      </w:tcPr>
    </w:tblStylePr>
  </w:style>
  <w:style w:type="table" w:styleId="Listeclaire-Accent6">
    <w:name w:val="Light List Accent 6"/>
    <w:basedOn w:val="TableauNormal"/>
    <w:uiPriority w:val="61"/>
    <w:semiHidden/>
    <w:unhideWhenUsed/>
    <w:rsid w:val="00924684"/>
    <w:pPr>
      <w:spacing w:after="0" w:line="240" w:lineRule="auto"/>
    </w:pPr>
    <w:tblPr>
      <w:tblStyleRowBandSize w:val="1"/>
      <w:tblStyleColBandSize w:val="1"/>
      <w:tblBorders>
        <w:top w:val="single" w:sz="8" w:space="0" w:color="D7418D" w:themeColor="accent6"/>
        <w:left w:val="single" w:sz="8" w:space="0" w:color="D7418D" w:themeColor="accent6"/>
        <w:bottom w:val="single" w:sz="8" w:space="0" w:color="D7418D" w:themeColor="accent6"/>
        <w:right w:val="single" w:sz="8" w:space="0" w:color="D7418D" w:themeColor="accent6"/>
      </w:tblBorders>
    </w:tblPr>
    <w:tblStylePr w:type="firstRow">
      <w:pPr>
        <w:spacing w:before="0" w:after="0" w:line="240" w:lineRule="auto"/>
      </w:pPr>
      <w:rPr>
        <w:b/>
        <w:bCs/>
        <w:color w:val="FFFFFF" w:themeColor="background1"/>
      </w:rPr>
      <w:tblPr/>
      <w:tcPr>
        <w:shd w:val="clear" w:color="auto" w:fill="D7418D" w:themeFill="accent6"/>
      </w:tcPr>
    </w:tblStylePr>
    <w:tblStylePr w:type="lastRow">
      <w:pPr>
        <w:spacing w:before="0" w:after="0" w:line="240" w:lineRule="auto"/>
      </w:pPr>
      <w:rPr>
        <w:b/>
        <w:bCs/>
      </w:rPr>
      <w:tblPr/>
      <w:tcPr>
        <w:tcBorders>
          <w:top w:val="double" w:sz="6" w:space="0" w:color="D7418D" w:themeColor="accent6"/>
          <w:left w:val="single" w:sz="8" w:space="0" w:color="D7418D" w:themeColor="accent6"/>
          <w:bottom w:val="single" w:sz="8" w:space="0" w:color="D7418D" w:themeColor="accent6"/>
          <w:right w:val="single" w:sz="8" w:space="0" w:color="D7418D" w:themeColor="accent6"/>
        </w:tcBorders>
      </w:tcPr>
    </w:tblStylePr>
    <w:tblStylePr w:type="firstCol">
      <w:rPr>
        <w:b/>
        <w:bCs/>
      </w:rPr>
    </w:tblStylePr>
    <w:tblStylePr w:type="lastCol">
      <w:rPr>
        <w:b/>
        <w:bCs/>
      </w:rPr>
    </w:tblStylePr>
    <w:tblStylePr w:type="band1Vert">
      <w:tblPr/>
      <w:tcPr>
        <w:tcBorders>
          <w:top w:val="single" w:sz="8" w:space="0" w:color="D7418D" w:themeColor="accent6"/>
          <w:left w:val="single" w:sz="8" w:space="0" w:color="D7418D" w:themeColor="accent6"/>
          <w:bottom w:val="single" w:sz="8" w:space="0" w:color="D7418D" w:themeColor="accent6"/>
          <w:right w:val="single" w:sz="8" w:space="0" w:color="D7418D" w:themeColor="accent6"/>
        </w:tcBorders>
      </w:tcPr>
    </w:tblStylePr>
    <w:tblStylePr w:type="band1Horz">
      <w:tblPr/>
      <w:tcPr>
        <w:tcBorders>
          <w:top w:val="single" w:sz="8" w:space="0" w:color="D7418D" w:themeColor="accent6"/>
          <w:left w:val="single" w:sz="8" w:space="0" w:color="D7418D" w:themeColor="accent6"/>
          <w:bottom w:val="single" w:sz="8" w:space="0" w:color="D7418D" w:themeColor="accent6"/>
          <w:right w:val="single" w:sz="8" w:space="0" w:color="D7418D" w:themeColor="accent6"/>
        </w:tcBorders>
      </w:tcPr>
    </w:tblStylePr>
  </w:style>
  <w:style w:type="table" w:styleId="Ombrageclair">
    <w:name w:val="Light Shading"/>
    <w:basedOn w:val="TableauNormal"/>
    <w:uiPriority w:val="60"/>
    <w:semiHidden/>
    <w:unhideWhenUsed/>
    <w:rsid w:val="00924684"/>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Trameclaire-Accent1">
    <w:name w:val="Light Shading Accent 1"/>
    <w:basedOn w:val="TableauNormal"/>
    <w:uiPriority w:val="60"/>
    <w:semiHidden/>
    <w:unhideWhenUsed/>
    <w:rsid w:val="00924684"/>
    <w:pPr>
      <w:spacing w:after="0" w:line="240" w:lineRule="auto"/>
    </w:pPr>
    <w:rPr>
      <w:color w:val="C02018" w:themeColor="accent1" w:themeShade="BF"/>
    </w:rPr>
    <w:tblPr>
      <w:tblStyleRowBandSize w:val="1"/>
      <w:tblStyleColBandSize w:val="1"/>
      <w:tblBorders>
        <w:top w:val="single" w:sz="8" w:space="0" w:color="E6443C" w:themeColor="accent1"/>
        <w:bottom w:val="single" w:sz="8" w:space="0" w:color="E6443C" w:themeColor="accent1"/>
      </w:tblBorders>
    </w:tblPr>
    <w:tblStylePr w:type="firstRow">
      <w:pPr>
        <w:spacing w:before="0" w:after="0" w:line="240" w:lineRule="auto"/>
      </w:pPr>
      <w:rPr>
        <w:b/>
        <w:bCs/>
      </w:rPr>
      <w:tblPr/>
      <w:tcPr>
        <w:tcBorders>
          <w:top w:val="single" w:sz="8" w:space="0" w:color="E6443C" w:themeColor="accent1"/>
          <w:left w:val="nil"/>
          <w:bottom w:val="single" w:sz="8" w:space="0" w:color="E6443C" w:themeColor="accent1"/>
          <w:right w:val="nil"/>
          <w:insideH w:val="nil"/>
          <w:insideV w:val="nil"/>
        </w:tcBorders>
      </w:tcPr>
    </w:tblStylePr>
    <w:tblStylePr w:type="lastRow">
      <w:pPr>
        <w:spacing w:before="0" w:after="0" w:line="240" w:lineRule="auto"/>
      </w:pPr>
      <w:rPr>
        <w:b/>
        <w:bCs/>
      </w:rPr>
      <w:tblPr/>
      <w:tcPr>
        <w:tcBorders>
          <w:top w:val="single" w:sz="8" w:space="0" w:color="E6443C" w:themeColor="accent1"/>
          <w:left w:val="nil"/>
          <w:bottom w:val="single" w:sz="8" w:space="0" w:color="E6443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8D0CE" w:themeFill="accent1" w:themeFillTint="3F"/>
      </w:tcPr>
    </w:tblStylePr>
    <w:tblStylePr w:type="band1Horz">
      <w:tblPr/>
      <w:tcPr>
        <w:tcBorders>
          <w:left w:val="nil"/>
          <w:right w:val="nil"/>
          <w:insideH w:val="nil"/>
          <w:insideV w:val="nil"/>
        </w:tcBorders>
        <w:shd w:val="clear" w:color="auto" w:fill="F8D0CE" w:themeFill="accent1" w:themeFillTint="3F"/>
      </w:tcPr>
    </w:tblStylePr>
  </w:style>
  <w:style w:type="table" w:styleId="Trameclaire-Accent2">
    <w:name w:val="Light Shading Accent 2"/>
    <w:basedOn w:val="TableauNormal"/>
    <w:uiPriority w:val="60"/>
    <w:semiHidden/>
    <w:unhideWhenUsed/>
    <w:rsid w:val="00924684"/>
    <w:pPr>
      <w:spacing w:after="0" w:line="240" w:lineRule="auto"/>
    </w:pPr>
    <w:rPr>
      <w:color w:val="7C4272" w:themeColor="accent2" w:themeShade="BF"/>
    </w:rPr>
    <w:tblPr>
      <w:tblStyleRowBandSize w:val="1"/>
      <w:tblStyleColBandSize w:val="1"/>
      <w:tblBorders>
        <w:top w:val="single" w:sz="8" w:space="0" w:color="A6589A" w:themeColor="accent2"/>
        <w:bottom w:val="single" w:sz="8" w:space="0" w:color="A6589A" w:themeColor="accent2"/>
      </w:tblBorders>
    </w:tblPr>
    <w:tblStylePr w:type="firstRow">
      <w:pPr>
        <w:spacing w:before="0" w:after="0" w:line="240" w:lineRule="auto"/>
      </w:pPr>
      <w:rPr>
        <w:b/>
        <w:bCs/>
      </w:rPr>
      <w:tblPr/>
      <w:tcPr>
        <w:tcBorders>
          <w:top w:val="single" w:sz="8" w:space="0" w:color="A6589A" w:themeColor="accent2"/>
          <w:left w:val="nil"/>
          <w:bottom w:val="single" w:sz="8" w:space="0" w:color="A6589A" w:themeColor="accent2"/>
          <w:right w:val="nil"/>
          <w:insideH w:val="nil"/>
          <w:insideV w:val="nil"/>
        </w:tcBorders>
      </w:tcPr>
    </w:tblStylePr>
    <w:tblStylePr w:type="lastRow">
      <w:pPr>
        <w:spacing w:before="0" w:after="0" w:line="240" w:lineRule="auto"/>
      </w:pPr>
      <w:rPr>
        <w:b/>
        <w:bCs/>
      </w:rPr>
      <w:tblPr/>
      <w:tcPr>
        <w:tcBorders>
          <w:top w:val="single" w:sz="8" w:space="0" w:color="A6589A" w:themeColor="accent2"/>
          <w:left w:val="nil"/>
          <w:bottom w:val="single" w:sz="8" w:space="0" w:color="A6589A"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D5E6" w:themeFill="accent2" w:themeFillTint="3F"/>
      </w:tcPr>
    </w:tblStylePr>
    <w:tblStylePr w:type="band1Horz">
      <w:tblPr/>
      <w:tcPr>
        <w:tcBorders>
          <w:left w:val="nil"/>
          <w:right w:val="nil"/>
          <w:insideH w:val="nil"/>
          <w:insideV w:val="nil"/>
        </w:tcBorders>
        <w:shd w:val="clear" w:color="auto" w:fill="E9D5E6" w:themeFill="accent2" w:themeFillTint="3F"/>
      </w:tcPr>
    </w:tblStylePr>
  </w:style>
  <w:style w:type="table" w:styleId="Trameclaire-Accent3">
    <w:name w:val="Light Shading Accent 3"/>
    <w:basedOn w:val="TableauNormal"/>
    <w:uiPriority w:val="60"/>
    <w:semiHidden/>
    <w:unhideWhenUsed/>
    <w:rsid w:val="00924684"/>
    <w:pPr>
      <w:spacing w:after="0" w:line="240" w:lineRule="auto"/>
    </w:pPr>
    <w:rPr>
      <w:color w:val="2D72A4" w:themeColor="accent3" w:themeShade="BF"/>
    </w:rPr>
    <w:tblPr>
      <w:tblStyleRowBandSize w:val="1"/>
      <w:tblStyleColBandSize w:val="1"/>
      <w:tblBorders>
        <w:top w:val="single" w:sz="8" w:space="0" w:color="4B97CD" w:themeColor="accent3"/>
        <w:bottom w:val="single" w:sz="8" w:space="0" w:color="4B97CD" w:themeColor="accent3"/>
      </w:tblBorders>
    </w:tblPr>
    <w:tblStylePr w:type="firstRow">
      <w:pPr>
        <w:spacing w:before="0" w:after="0" w:line="240" w:lineRule="auto"/>
      </w:pPr>
      <w:rPr>
        <w:b/>
        <w:bCs/>
      </w:rPr>
      <w:tblPr/>
      <w:tcPr>
        <w:tcBorders>
          <w:top w:val="single" w:sz="8" w:space="0" w:color="4B97CD" w:themeColor="accent3"/>
          <w:left w:val="nil"/>
          <w:bottom w:val="single" w:sz="8" w:space="0" w:color="4B97CD" w:themeColor="accent3"/>
          <w:right w:val="nil"/>
          <w:insideH w:val="nil"/>
          <w:insideV w:val="nil"/>
        </w:tcBorders>
      </w:tcPr>
    </w:tblStylePr>
    <w:tblStylePr w:type="lastRow">
      <w:pPr>
        <w:spacing w:before="0" w:after="0" w:line="240" w:lineRule="auto"/>
      </w:pPr>
      <w:rPr>
        <w:b/>
        <w:bCs/>
      </w:rPr>
      <w:tblPr/>
      <w:tcPr>
        <w:tcBorders>
          <w:top w:val="single" w:sz="8" w:space="0" w:color="4B97CD" w:themeColor="accent3"/>
          <w:left w:val="nil"/>
          <w:bottom w:val="single" w:sz="8" w:space="0" w:color="4B97CD"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5F2" w:themeFill="accent3" w:themeFillTint="3F"/>
      </w:tcPr>
    </w:tblStylePr>
    <w:tblStylePr w:type="band1Horz">
      <w:tblPr/>
      <w:tcPr>
        <w:tcBorders>
          <w:left w:val="nil"/>
          <w:right w:val="nil"/>
          <w:insideH w:val="nil"/>
          <w:insideV w:val="nil"/>
        </w:tcBorders>
        <w:shd w:val="clear" w:color="auto" w:fill="D2E5F2" w:themeFill="accent3" w:themeFillTint="3F"/>
      </w:tcPr>
    </w:tblStylePr>
  </w:style>
  <w:style w:type="table" w:styleId="Trameclaire-Accent4">
    <w:name w:val="Light Shading Accent 4"/>
    <w:basedOn w:val="TableauNormal"/>
    <w:uiPriority w:val="60"/>
    <w:semiHidden/>
    <w:unhideWhenUsed/>
    <w:rsid w:val="00924684"/>
    <w:pPr>
      <w:spacing w:after="0" w:line="240" w:lineRule="auto"/>
    </w:pPr>
    <w:rPr>
      <w:color w:val="235E63" w:themeColor="accent4" w:themeShade="BF"/>
    </w:rPr>
    <w:tblPr>
      <w:tblStyleRowBandSize w:val="1"/>
      <w:tblStyleColBandSize w:val="1"/>
      <w:tblBorders>
        <w:top w:val="single" w:sz="8" w:space="0" w:color="2F7F85" w:themeColor="accent4"/>
        <w:bottom w:val="single" w:sz="8" w:space="0" w:color="2F7F85" w:themeColor="accent4"/>
      </w:tblBorders>
    </w:tblPr>
    <w:tblStylePr w:type="firstRow">
      <w:pPr>
        <w:spacing w:before="0" w:after="0" w:line="240" w:lineRule="auto"/>
      </w:pPr>
      <w:rPr>
        <w:b/>
        <w:bCs/>
      </w:rPr>
      <w:tblPr/>
      <w:tcPr>
        <w:tcBorders>
          <w:top w:val="single" w:sz="8" w:space="0" w:color="2F7F85" w:themeColor="accent4"/>
          <w:left w:val="nil"/>
          <w:bottom w:val="single" w:sz="8" w:space="0" w:color="2F7F85" w:themeColor="accent4"/>
          <w:right w:val="nil"/>
          <w:insideH w:val="nil"/>
          <w:insideV w:val="nil"/>
        </w:tcBorders>
      </w:tcPr>
    </w:tblStylePr>
    <w:tblStylePr w:type="lastRow">
      <w:pPr>
        <w:spacing w:before="0" w:after="0" w:line="240" w:lineRule="auto"/>
      </w:pPr>
      <w:rPr>
        <w:b/>
        <w:bCs/>
      </w:rPr>
      <w:tblPr/>
      <w:tcPr>
        <w:tcBorders>
          <w:top w:val="single" w:sz="8" w:space="0" w:color="2F7F85" w:themeColor="accent4"/>
          <w:left w:val="nil"/>
          <w:bottom w:val="single" w:sz="8" w:space="0" w:color="2F7F8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2E7E9" w:themeFill="accent4" w:themeFillTint="3F"/>
      </w:tcPr>
    </w:tblStylePr>
    <w:tblStylePr w:type="band1Horz">
      <w:tblPr/>
      <w:tcPr>
        <w:tcBorders>
          <w:left w:val="nil"/>
          <w:right w:val="nil"/>
          <w:insideH w:val="nil"/>
          <w:insideV w:val="nil"/>
        </w:tcBorders>
        <w:shd w:val="clear" w:color="auto" w:fill="C2E7E9" w:themeFill="accent4" w:themeFillTint="3F"/>
      </w:tcPr>
    </w:tblStylePr>
  </w:style>
  <w:style w:type="table" w:styleId="Trameclaire-Accent5">
    <w:name w:val="Light Shading Accent 5"/>
    <w:basedOn w:val="TableauNormal"/>
    <w:uiPriority w:val="60"/>
    <w:semiHidden/>
    <w:unhideWhenUsed/>
    <w:rsid w:val="00924684"/>
    <w:pPr>
      <w:spacing w:after="0" w:line="240" w:lineRule="auto"/>
    </w:pPr>
    <w:rPr>
      <w:color w:val="CE9504" w:themeColor="accent5" w:themeShade="BF"/>
    </w:rPr>
    <w:tblPr>
      <w:tblStyleRowBandSize w:val="1"/>
      <w:tblStyleColBandSize w:val="1"/>
      <w:tblBorders>
        <w:top w:val="single" w:sz="8" w:space="0" w:color="FABC21" w:themeColor="accent5"/>
        <w:bottom w:val="single" w:sz="8" w:space="0" w:color="FABC21" w:themeColor="accent5"/>
      </w:tblBorders>
    </w:tblPr>
    <w:tblStylePr w:type="firstRow">
      <w:pPr>
        <w:spacing w:before="0" w:after="0" w:line="240" w:lineRule="auto"/>
      </w:pPr>
      <w:rPr>
        <w:b/>
        <w:bCs/>
      </w:rPr>
      <w:tblPr/>
      <w:tcPr>
        <w:tcBorders>
          <w:top w:val="single" w:sz="8" w:space="0" w:color="FABC21" w:themeColor="accent5"/>
          <w:left w:val="nil"/>
          <w:bottom w:val="single" w:sz="8" w:space="0" w:color="FABC21" w:themeColor="accent5"/>
          <w:right w:val="nil"/>
          <w:insideH w:val="nil"/>
          <w:insideV w:val="nil"/>
        </w:tcBorders>
      </w:tcPr>
    </w:tblStylePr>
    <w:tblStylePr w:type="lastRow">
      <w:pPr>
        <w:spacing w:before="0" w:after="0" w:line="240" w:lineRule="auto"/>
      </w:pPr>
      <w:rPr>
        <w:b/>
        <w:bCs/>
      </w:rPr>
      <w:tblPr/>
      <w:tcPr>
        <w:tcBorders>
          <w:top w:val="single" w:sz="8" w:space="0" w:color="FABC21" w:themeColor="accent5"/>
          <w:left w:val="nil"/>
          <w:bottom w:val="single" w:sz="8" w:space="0" w:color="FABC21"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EC7" w:themeFill="accent5" w:themeFillTint="3F"/>
      </w:tcPr>
    </w:tblStylePr>
    <w:tblStylePr w:type="band1Horz">
      <w:tblPr/>
      <w:tcPr>
        <w:tcBorders>
          <w:left w:val="nil"/>
          <w:right w:val="nil"/>
          <w:insideH w:val="nil"/>
          <w:insideV w:val="nil"/>
        </w:tcBorders>
        <w:shd w:val="clear" w:color="auto" w:fill="FDEEC7" w:themeFill="accent5" w:themeFillTint="3F"/>
      </w:tcPr>
    </w:tblStylePr>
  </w:style>
  <w:style w:type="table" w:styleId="Trameclaire-Accent6">
    <w:name w:val="Light Shading Accent 6"/>
    <w:basedOn w:val="TableauNormal"/>
    <w:uiPriority w:val="60"/>
    <w:semiHidden/>
    <w:unhideWhenUsed/>
    <w:rsid w:val="00924684"/>
    <w:pPr>
      <w:spacing w:after="0" w:line="240" w:lineRule="auto"/>
    </w:pPr>
    <w:rPr>
      <w:color w:val="AD2469" w:themeColor="accent6" w:themeShade="BF"/>
    </w:rPr>
    <w:tblPr>
      <w:tblStyleRowBandSize w:val="1"/>
      <w:tblStyleColBandSize w:val="1"/>
      <w:tblBorders>
        <w:top w:val="single" w:sz="8" w:space="0" w:color="D7418D" w:themeColor="accent6"/>
        <w:bottom w:val="single" w:sz="8" w:space="0" w:color="D7418D" w:themeColor="accent6"/>
      </w:tblBorders>
    </w:tblPr>
    <w:tblStylePr w:type="firstRow">
      <w:pPr>
        <w:spacing w:before="0" w:after="0" w:line="240" w:lineRule="auto"/>
      </w:pPr>
      <w:rPr>
        <w:b/>
        <w:bCs/>
      </w:rPr>
      <w:tblPr/>
      <w:tcPr>
        <w:tcBorders>
          <w:top w:val="single" w:sz="8" w:space="0" w:color="D7418D" w:themeColor="accent6"/>
          <w:left w:val="nil"/>
          <w:bottom w:val="single" w:sz="8" w:space="0" w:color="D7418D" w:themeColor="accent6"/>
          <w:right w:val="nil"/>
          <w:insideH w:val="nil"/>
          <w:insideV w:val="nil"/>
        </w:tcBorders>
      </w:tcPr>
    </w:tblStylePr>
    <w:tblStylePr w:type="lastRow">
      <w:pPr>
        <w:spacing w:before="0" w:after="0" w:line="240" w:lineRule="auto"/>
      </w:pPr>
      <w:rPr>
        <w:b/>
        <w:bCs/>
      </w:rPr>
      <w:tblPr/>
      <w:tcPr>
        <w:tcBorders>
          <w:top w:val="single" w:sz="8" w:space="0" w:color="D7418D" w:themeColor="accent6"/>
          <w:left w:val="nil"/>
          <w:bottom w:val="single" w:sz="8" w:space="0" w:color="D7418D"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5CFE2" w:themeFill="accent6" w:themeFillTint="3F"/>
      </w:tcPr>
    </w:tblStylePr>
    <w:tblStylePr w:type="band1Horz">
      <w:tblPr/>
      <w:tcPr>
        <w:tcBorders>
          <w:left w:val="nil"/>
          <w:right w:val="nil"/>
          <w:insideH w:val="nil"/>
          <w:insideV w:val="nil"/>
        </w:tcBorders>
        <w:shd w:val="clear" w:color="auto" w:fill="F5CFE2" w:themeFill="accent6" w:themeFillTint="3F"/>
      </w:tcPr>
    </w:tblStylePr>
  </w:style>
  <w:style w:type="character" w:styleId="Numrodeligne">
    <w:name w:val="line number"/>
    <w:basedOn w:val="Policepardfaut"/>
    <w:uiPriority w:val="49"/>
    <w:semiHidden/>
    <w:rsid w:val="00924684"/>
  </w:style>
  <w:style w:type="paragraph" w:styleId="Liste">
    <w:name w:val="List"/>
    <w:basedOn w:val="Normal"/>
    <w:uiPriority w:val="49"/>
    <w:semiHidden/>
    <w:rsid w:val="00924684"/>
    <w:pPr>
      <w:ind w:left="283" w:hanging="283"/>
      <w:contextualSpacing/>
    </w:pPr>
  </w:style>
  <w:style w:type="paragraph" w:styleId="Liste2">
    <w:name w:val="List 2"/>
    <w:basedOn w:val="Normal"/>
    <w:uiPriority w:val="49"/>
    <w:semiHidden/>
    <w:rsid w:val="00924684"/>
    <w:pPr>
      <w:ind w:left="566" w:hanging="283"/>
      <w:contextualSpacing/>
    </w:pPr>
  </w:style>
  <w:style w:type="paragraph" w:styleId="Liste3">
    <w:name w:val="List 3"/>
    <w:basedOn w:val="Normal"/>
    <w:uiPriority w:val="49"/>
    <w:semiHidden/>
    <w:rsid w:val="00924684"/>
    <w:pPr>
      <w:ind w:left="849" w:hanging="283"/>
      <w:contextualSpacing/>
    </w:pPr>
  </w:style>
  <w:style w:type="paragraph" w:styleId="Liste4">
    <w:name w:val="List 4"/>
    <w:basedOn w:val="Normal"/>
    <w:uiPriority w:val="49"/>
    <w:semiHidden/>
    <w:rsid w:val="00924684"/>
    <w:pPr>
      <w:ind w:left="1132" w:hanging="283"/>
      <w:contextualSpacing/>
    </w:pPr>
  </w:style>
  <w:style w:type="paragraph" w:styleId="Liste5">
    <w:name w:val="List 5"/>
    <w:basedOn w:val="Normal"/>
    <w:uiPriority w:val="49"/>
    <w:semiHidden/>
    <w:rsid w:val="00924684"/>
    <w:pPr>
      <w:ind w:left="1415" w:hanging="283"/>
      <w:contextualSpacing/>
    </w:pPr>
  </w:style>
  <w:style w:type="paragraph" w:styleId="Listepuces4">
    <w:name w:val="List Bullet 4"/>
    <w:basedOn w:val="Normal"/>
    <w:uiPriority w:val="49"/>
    <w:semiHidden/>
    <w:rsid w:val="00924684"/>
    <w:pPr>
      <w:numPr>
        <w:numId w:val="19"/>
      </w:numPr>
      <w:contextualSpacing/>
    </w:pPr>
  </w:style>
  <w:style w:type="paragraph" w:styleId="Listepuces5">
    <w:name w:val="List Bullet 5"/>
    <w:basedOn w:val="Normal"/>
    <w:uiPriority w:val="49"/>
    <w:semiHidden/>
    <w:rsid w:val="00924684"/>
    <w:pPr>
      <w:numPr>
        <w:numId w:val="20"/>
      </w:numPr>
      <w:contextualSpacing/>
    </w:pPr>
  </w:style>
  <w:style w:type="paragraph" w:styleId="Listecontinue">
    <w:name w:val="List Continue"/>
    <w:basedOn w:val="Normal"/>
    <w:uiPriority w:val="49"/>
    <w:semiHidden/>
    <w:rsid w:val="00924684"/>
    <w:pPr>
      <w:ind w:left="283"/>
      <w:contextualSpacing/>
    </w:pPr>
  </w:style>
  <w:style w:type="paragraph" w:styleId="Listecontinue2">
    <w:name w:val="List Continue 2"/>
    <w:basedOn w:val="Normal"/>
    <w:uiPriority w:val="49"/>
    <w:semiHidden/>
    <w:rsid w:val="00924684"/>
    <w:pPr>
      <w:ind w:left="566"/>
      <w:contextualSpacing/>
    </w:pPr>
  </w:style>
  <w:style w:type="paragraph" w:styleId="Listecontinue3">
    <w:name w:val="List Continue 3"/>
    <w:basedOn w:val="Normal"/>
    <w:uiPriority w:val="49"/>
    <w:semiHidden/>
    <w:rsid w:val="00924684"/>
    <w:pPr>
      <w:ind w:left="849"/>
      <w:contextualSpacing/>
    </w:pPr>
  </w:style>
  <w:style w:type="paragraph" w:styleId="Listecontinue4">
    <w:name w:val="List Continue 4"/>
    <w:basedOn w:val="Normal"/>
    <w:uiPriority w:val="49"/>
    <w:semiHidden/>
    <w:rsid w:val="00924684"/>
    <w:pPr>
      <w:ind w:left="1132"/>
      <w:contextualSpacing/>
    </w:pPr>
  </w:style>
  <w:style w:type="paragraph" w:styleId="Listecontinue5">
    <w:name w:val="List Continue 5"/>
    <w:basedOn w:val="Normal"/>
    <w:uiPriority w:val="49"/>
    <w:semiHidden/>
    <w:rsid w:val="00924684"/>
    <w:pPr>
      <w:ind w:left="1415"/>
      <w:contextualSpacing/>
    </w:pPr>
  </w:style>
  <w:style w:type="paragraph" w:styleId="Listenumros">
    <w:name w:val="List Number"/>
    <w:basedOn w:val="Normal"/>
    <w:uiPriority w:val="49"/>
    <w:semiHidden/>
    <w:rsid w:val="00924684"/>
    <w:pPr>
      <w:numPr>
        <w:numId w:val="21"/>
      </w:numPr>
      <w:contextualSpacing/>
    </w:pPr>
  </w:style>
  <w:style w:type="paragraph" w:styleId="Listenumros2">
    <w:name w:val="List Number 2"/>
    <w:basedOn w:val="Normal"/>
    <w:uiPriority w:val="49"/>
    <w:semiHidden/>
    <w:rsid w:val="00924684"/>
    <w:pPr>
      <w:numPr>
        <w:numId w:val="22"/>
      </w:numPr>
      <w:contextualSpacing/>
    </w:pPr>
  </w:style>
  <w:style w:type="paragraph" w:styleId="Listenumros3">
    <w:name w:val="List Number 3"/>
    <w:basedOn w:val="Normal"/>
    <w:uiPriority w:val="49"/>
    <w:semiHidden/>
    <w:rsid w:val="00924684"/>
    <w:pPr>
      <w:numPr>
        <w:numId w:val="23"/>
      </w:numPr>
      <w:contextualSpacing/>
    </w:pPr>
  </w:style>
  <w:style w:type="paragraph" w:styleId="Listenumros4">
    <w:name w:val="List Number 4"/>
    <w:basedOn w:val="Normal"/>
    <w:uiPriority w:val="49"/>
    <w:semiHidden/>
    <w:rsid w:val="00924684"/>
    <w:pPr>
      <w:numPr>
        <w:numId w:val="24"/>
      </w:numPr>
      <w:contextualSpacing/>
    </w:pPr>
  </w:style>
  <w:style w:type="paragraph" w:styleId="Listenumros5">
    <w:name w:val="List Number 5"/>
    <w:basedOn w:val="Normal"/>
    <w:uiPriority w:val="49"/>
    <w:semiHidden/>
    <w:rsid w:val="00924684"/>
    <w:pPr>
      <w:numPr>
        <w:numId w:val="25"/>
      </w:numPr>
      <w:contextualSpacing/>
    </w:pPr>
  </w:style>
  <w:style w:type="paragraph" w:styleId="Paragraphedeliste">
    <w:name w:val="List Paragraph"/>
    <w:basedOn w:val="Normal"/>
    <w:uiPriority w:val="34"/>
    <w:qFormat/>
    <w:rsid w:val="00924684"/>
    <w:pPr>
      <w:ind w:left="720"/>
      <w:contextualSpacing/>
    </w:pPr>
  </w:style>
  <w:style w:type="table" w:styleId="TableauListe1Clair">
    <w:name w:val="List Table 1 Light"/>
    <w:basedOn w:val="TableauNormal"/>
    <w:uiPriority w:val="46"/>
    <w:rsid w:val="00924684"/>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1Clair-Accentuation1">
    <w:name w:val="List Table 1 Light Accent 1"/>
    <w:basedOn w:val="TableauNormal"/>
    <w:uiPriority w:val="46"/>
    <w:rsid w:val="00924684"/>
    <w:pPr>
      <w:spacing w:after="0" w:line="240" w:lineRule="auto"/>
    </w:pPr>
    <w:tblPr>
      <w:tblStyleRowBandSize w:val="1"/>
      <w:tblStyleColBandSize w:val="1"/>
    </w:tblPr>
    <w:tblStylePr w:type="firstRow">
      <w:rPr>
        <w:b/>
        <w:bCs/>
      </w:rPr>
      <w:tblPr/>
      <w:tcPr>
        <w:tcBorders>
          <w:bottom w:val="single" w:sz="4" w:space="0" w:color="F08E8A" w:themeColor="accent1" w:themeTint="99"/>
        </w:tcBorders>
      </w:tcPr>
    </w:tblStylePr>
    <w:tblStylePr w:type="lastRow">
      <w:rPr>
        <w:b/>
        <w:bCs/>
      </w:rPr>
      <w:tblPr/>
      <w:tcPr>
        <w:tcBorders>
          <w:top w:val="single" w:sz="4" w:space="0" w:color="F08E8A" w:themeColor="accent1" w:themeTint="99"/>
        </w:tcBorders>
      </w:tcPr>
    </w:tblStylePr>
    <w:tblStylePr w:type="firstCol">
      <w:rPr>
        <w:b/>
        <w:bCs/>
      </w:rPr>
    </w:tblStylePr>
    <w:tblStylePr w:type="lastCol">
      <w:rPr>
        <w:b/>
        <w:bCs/>
      </w:rPr>
    </w:tblStylePr>
    <w:tblStylePr w:type="band1Vert">
      <w:tblPr/>
      <w:tcPr>
        <w:shd w:val="clear" w:color="auto" w:fill="FAD9D8" w:themeFill="accent1" w:themeFillTint="33"/>
      </w:tcPr>
    </w:tblStylePr>
    <w:tblStylePr w:type="band1Horz">
      <w:tblPr/>
      <w:tcPr>
        <w:shd w:val="clear" w:color="auto" w:fill="FAD9D8" w:themeFill="accent1" w:themeFillTint="33"/>
      </w:tcPr>
    </w:tblStylePr>
  </w:style>
  <w:style w:type="table" w:styleId="TableauListe1Clair-Accentuation2">
    <w:name w:val="List Table 1 Light Accent 2"/>
    <w:basedOn w:val="TableauNormal"/>
    <w:uiPriority w:val="46"/>
    <w:rsid w:val="00924684"/>
    <w:pPr>
      <w:spacing w:after="0" w:line="240" w:lineRule="auto"/>
    </w:pPr>
    <w:tblPr>
      <w:tblStyleRowBandSize w:val="1"/>
      <w:tblStyleColBandSize w:val="1"/>
    </w:tblPr>
    <w:tblStylePr w:type="firstRow">
      <w:rPr>
        <w:b/>
        <w:bCs/>
      </w:rPr>
      <w:tblPr/>
      <w:tcPr>
        <w:tcBorders>
          <w:bottom w:val="single" w:sz="4" w:space="0" w:color="C99AC2" w:themeColor="accent2" w:themeTint="99"/>
        </w:tcBorders>
      </w:tcPr>
    </w:tblStylePr>
    <w:tblStylePr w:type="lastRow">
      <w:rPr>
        <w:b/>
        <w:bCs/>
      </w:rPr>
      <w:tblPr/>
      <w:tcPr>
        <w:tcBorders>
          <w:top w:val="single" w:sz="4" w:space="0" w:color="C99AC2" w:themeColor="accent2" w:themeTint="99"/>
        </w:tcBorders>
      </w:tcPr>
    </w:tblStylePr>
    <w:tblStylePr w:type="firstCol">
      <w:rPr>
        <w:b/>
        <w:bCs/>
      </w:rPr>
    </w:tblStylePr>
    <w:tblStylePr w:type="lastCol">
      <w:rPr>
        <w:b/>
        <w:bCs/>
      </w:rPr>
    </w:tblStylePr>
    <w:tblStylePr w:type="band1Vert">
      <w:tblPr/>
      <w:tcPr>
        <w:shd w:val="clear" w:color="auto" w:fill="EDDDEA" w:themeFill="accent2" w:themeFillTint="33"/>
      </w:tcPr>
    </w:tblStylePr>
    <w:tblStylePr w:type="band1Horz">
      <w:tblPr/>
      <w:tcPr>
        <w:shd w:val="clear" w:color="auto" w:fill="EDDDEA" w:themeFill="accent2" w:themeFillTint="33"/>
      </w:tcPr>
    </w:tblStylePr>
  </w:style>
  <w:style w:type="table" w:styleId="TableauListe1Clair-Accentuation3">
    <w:name w:val="List Table 1 Light Accent 3"/>
    <w:basedOn w:val="TableauNormal"/>
    <w:uiPriority w:val="46"/>
    <w:rsid w:val="00924684"/>
    <w:pPr>
      <w:spacing w:after="0" w:line="240" w:lineRule="auto"/>
    </w:pPr>
    <w:tblPr>
      <w:tblStyleRowBandSize w:val="1"/>
      <w:tblStyleColBandSize w:val="1"/>
    </w:tblPr>
    <w:tblStylePr w:type="firstRow">
      <w:rPr>
        <w:b/>
        <w:bCs/>
      </w:rPr>
      <w:tblPr/>
      <w:tcPr>
        <w:tcBorders>
          <w:bottom w:val="single" w:sz="4" w:space="0" w:color="93C0E1" w:themeColor="accent3" w:themeTint="99"/>
        </w:tcBorders>
      </w:tcPr>
    </w:tblStylePr>
    <w:tblStylePr w:type="lastRow">
      <w:rPr>
        <w:b/>
        <w:bCs/>
      </w:rPr>
      <w:tblPr/>
      <w:tcPr>
        <w:tcBorders>
          <w:top w:val="single" w:sz="4" w:space="0" w:color="93C0E1" w:themeColor="accent3" w:themeTint="99"/>
        </w:tcBorders>
      </w:tcPr>
    </w:tblStylePr>
    <w:tblStylePr w:type="firstCol">
      <w:rPr>
        <w:b/>
        <w:bCs/>
      </w:rPr>
    </w:tblStylePr>
    <w:tblStylePr w:type="lastCol">
      <w:rPr>
        <w:b/>
        <w:bCs/>
      </w:rPr>
    </w:tblStylePr>
    <w:tblStylePr w:type="band1Vert">
      <w:tblPr/>
      <w:tcPr>
        <w:shd w:val="clear" w:color="auto" w:fill="DBEAF5" w:themeFill="accent3" w:themeFillTint="33"/>
      </w:tcPr>
    </w:tblStylePr>
    <w:tblStylePr w:type="band1Horz">
      <w:tblPr/>
      <w:tcPr>
        <w:shd w:val="clear" w:color="auto" w:fill="DBEAF5" w:themeFill="accent3" w:themeFillTint="33"/>
      </w:tcPr>
    </w:tblStylePr>
  </w:style>
  <w:style w:type="table" w:styleId="TableauListe1Clair-Accentuation4">
    <w:name w:val="List Table 1 Light Accent 4"/>
    <w:basedOn w:val="TableauNormal"/>
    <w:uiPriority w:val="46"/>
    <w:rsid w:val="00924684"/>
    <w:pPr>
      <w:spacing w:after="0" w:line="240" w:lineRule="auto"/>
    </w:pPr>
    <w:tblPr>
      <w:tblStyleRowBandSize w:val="1"/>
      <w:tblStyleColBandSize w:val="1"/>
    </w:tblPr>
    <w:tblStylePr w:type="firstRow">
      <w:rPr>
        <w:b/>
        <w:bCs/>
      </w:rPr>
      <w:tblPr/>
      <w:tcPr>
        <w:tcBorders>
          <w:bottom w:val="single" w:sz="4" w:space="0" w:color="6CC4CB" w:themeColor="accent4" w:themeTint="99"/>
        </w:tcBorders>
      </w:tcPr>
    </w:tblStylePr>
    <w:tblStylePr w:type="lastRow">
      <w:rPr>
        <w:b/>
        <w:bCs/>
      </w:rPr>
      <w:tblPr/>
      <w:tcPr>
        <w:tcBorders>
          <w:top w:val="single" w:sz="4" w:space="0" w:color="6CC4CB" w:themeColor="accent4" w:themeTint="99"/>
        </w:tcBorders>
      </w:tcPr>
    </w:tblStylePr>
    <w:tblStylePr w:type="firstCol">
      <w:rPr>
        <w:b/>
        <w:bCs/>
      </w:rPr>
    </w:tblStylePr>
    <w:tblStylePr w:type="lastCol">
      <w:rPr>
        <w:b/>
        <w:bCs/>
      </w:rPr>
    </w:tblStylePr>
    <w:tblStylePr w:type="band1Vert">
      <w:tblPr/>
      <w:tcPr>
        <w:shd w:val="clear" w:color="auto" w:fill="CEEBED" w:themeFill="accent4" w:themeFillTint="33"/>
      </w:tcPr>
    </w:tblStylePr>
    <w:tblStylePr w:type="band1Horz">
      <w:tblPr/>
      <w:tcPr>
        <w:shd w:val="clear" w:color="auto" w:fill="CEEBED" w:themeFill="accent4" w:themeFillTint="33"/>
      </w:tcPr>
    </w:tblStylePr>
  </w:style>
  <w:style w:type="table" w:styleId="TableauListe1Clair-Accentuation5">
    <w:name w:val="List Table 1 Light Accent 5"/>
    <w:basedOn w:val="TableauNormal"/>
    <w:uiPriority w:val="46"/>
    <w:rsid w:val="00924684"/>
    <w:pPr>
      <w:spacing w:after="0" w:line="240" w:lineRule="auto"/>
    </w:pPr>
    <w:tblPr>
      <w:tblStyleRowBandSize w:val="1"/>
      <w:tblStyleColBandSize w:val="1"/>
    </w:tblPr>
    <w:tblStylePr w:type="firstRow">
      <w:rPr>
        <w:b/>
        <w:bCs/>
      </w:rPr>
      <w:tblPr/>
      <w:tcPr>
        <w:tcBorders>
          <w:bottom w:val="single" w:sz="4" w:space="0" w:color="FCD679" w:themeColor="accent5" w:themeTint="99"/>
        </w:tcBorders>
      </w:tcPr>
    </w:tblStylePr>
    <w:tblStylePr w:type="lastRow">
      <w:rPr>
        <w:b/>
        <w:bCs/>
      </w:rPr>
      <w:tblPr/>
      <w:tcPr>
        <w:tcBorders>
          <w:top w:val="single" w:sz="4" w:space="0" w:color="FCD679" w:themeColor="accent5" w:themeTint="99"/>
        </w:tcBorders>
      </w:tcPr>
    </w:tblStylePr>
    <w:tblStylePr w:type="firstCol">
      <w:rPr>
        <w:b/>
        <w:bCs/>
      </w:rPr>
    </w:tblStylePr>
    <w:tblStylePr w:type="lastCol">
      <w:rPr>
        <w:b/>
        <w:bCs/>
      </w:rPr>
    </w:tblStylePr>
    <w:tblStylePr w:type="band1Vert">
      <w:tblPr/>
      <w:tcPr>
        <w:shd w:val="clear" w:color="auto" w:fill="FEF1D2" w:themeFill="accent5" w:themeFillTint="33"/>
      </w:tcPr>
    </w:tblStylePr>
    <w:tblStylePr w:type="band1Horz">
      <w:tblPr/>
      <w:tcPr>
        <w:shd w:val="clear" w:color="auto" w:fill="FEF1D2" w:themeFill="accent5" w:themeFillTint="33"/>
      </w:tcPr>
    </w:tblStylePr>
  </w:style>
  <w:style w:type="table" w:styleId="TableauListe1Clair-Accentuation6">
    <w:name w:val="List Table 1 Light Accent 6"/>
    <w:basedOn w:val="TableauNormal"/>
    <w:uiPriority w:val="46"/>
    <w:rsid w:val="00924684"/>
    <w:pPr>
      <w:spacing w:after="0" w:line="240" w:lineRule="auto"/>
    </w:pPr>
    <w:tblPr>
      <w:tblStyleRowBandSize w:val="1"/>
      <w:tblStyleColBandSize w:val="1"/>
    </w:tblPr>
    <w:tblStylePr w:type="firstRow">
      <w:rPr>
        <w:b/>
        <w:bCs/>
      </w:rPr>
      <w:tblPr/>
      <w:tcPr>
        <w:tcBorders>
          <w:bottom w:val="single" w:sz="4" w:space="0" w:color="E78DBA" w:themeColor="accent6" w:themeTint="99"/>
        </w:tcBorders>
      </w:tcPr>
    </w:tblStylePr>
    <w:tblStylePr w:type="lastRow">
      <w:rPr>
        <w:b/>
        <w:bCs/>
      </w:rPr>
      <w:tblPr/>
      <w:tcPr>
        <w:tcBorders>
          <w:top w:val="single" w:sz="4" w:space="0" w:color="E78DBA" w:themeColor="accent6" w:themeTint="99"/>
        </w:tcBorders>
      </w:tcPr>
    </w:tblStylePr>
    <w:tblStylePr w:type="firstCol">
      <w:rPr>
        <w:b/>
        <w:bCs/>
      </w:rPr>
    </w:tblStylePr>
    <w:tblStylePr w:type="lastCol">
      <w:rPr>
        <w:b/>
        <w:bCs/>
      </w:rPr>
    </w:tblStylePr>
    <w:tblStylePr w:type="band1Vert">
      <w:tblPr/>
      <w:tcPr>
        <w:shd w:val="clear" w:color="auto" w:fill="F7D9E8" w:themeFill="accent6" w:themeFillTint="33"/>
      </w:tcPr>
    </w:tblStylePr>
    <w:tblStylePr w:type="band1Horz">
      <w:tblPr/>
      <w:tcPr>
        <w:shd w:val="clear" w:color="auto" w:fill="F7D9E8" w:themeFill="accent6" w:themeFillTint="33"/>
      </w:tcPr>
    </w:tblStylePr>
  </w:style>
  <w:style w:type="table" w:styleId="TableauListe2">
    <w:name w:val="List Table 2"/>
    <w:basedOn w:val="TableauNormal"/>
    <w:uiPriority w:val="47"/>
    <w:rsid w:val="00924684"/>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2-Accentuation1">
    <w:name w:val="List Table 2 Accent 1"/>
    <w:basedOn w:val="TableauNormal"/>
    <w:uiPriority w:val="47"/>
    <w:rsid w:val="00924684"/>
    <w:pPr>
      <w:spacing w:after="0" w:line="240" w:lineRule="auto"/>
    </w:pPr>
    <w:tblPr>
      <w:tblStyleRowBandSize w:val="1"/>
      <w:tblStyleColBandSize w:val="1"/>
      <w:tblBorders>
        <w:top w:val="single" w:sz="4" w:space="0" w:color="F08E8A" w:themeColor="accent1" w:themeTint="99"/>
        <w:bottom w:val="single" w:sz="4" w:space="0" w:color="F08E8A" w:themeColor="accent1" w:themeTint="99"/>
        <w:insideH w:val="single" w:sz="4" w:space="0" w:color="F08E8A"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D9D8" w:themeFill="accent1" w:themeFillTint="33"/>
      </w:tcPr>
    </w:tblStylePr>
    <w:tblStylePr w:type="band1Horz">
      <w:tblPr/>
      <w:tcPr>
        <w:shd w:val="clear" w:color="auto" w:fill="FAD9D8" w:themeFill="accent1" w:themeFillTint="33"/>
      </w:tcPr>
    </w:tblStylePr>
  </w:style>
  <w:style w:type="table" w:styleId="TableauListe2-Accentuation2">
    <w:name w:val="List Table 2 Accent 2"/>
    <w:basedOn w:val="TableauNormal"/>
    <w:uiPriority w:val="47"/>
    <w:rsid w:val="00924684"/>
    <w:pPr>
      <w:spacing w:after="0" w:line="240" w:lineRule="auto"/>
    </w:pPr>
    <w:tblPr>
      <w:tblStyleRowBandSize w:val="1"/>
      <w:tblStyleColBandSize w:val="1"/>
      <w:tblBorders>
        <w:top w:val="single" w:sz="4" w:space="0" w:color="C99AC2" w:themeColor="accent2" w:themeTint="99"/>
        <w:bottom w:val="single" w:sz="4" w:space="0" w:color="C99AC2" w:themeColor="accent2" w:themeTint="99"/>
        <w:insideH w:val="single" w:sz="4" w:space="0" w:color="C99AC2"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DDEA" w:themeFill="accent2" w:themeFillTint="33"/>
      </w:tcPr>
    </w:tblStylePr>
    <w:tblStylePr w:type="band1Horz">
      <w:tblPr/>
      <w:tcPr>
        <w:shd w:val="clear" w:color="auto" w:fill="EDDDEA" w:themeFill="accent2" w:themeFillTint="33"/>
      </w:tcPr>
    </w:tblStylePr>
  </w:style>
  <w:style w:type="table" w:styleId="TableauListe2-Accentuation3">
    <w:name w:val="List Table 2 Accent 3"/>
    <w:basedOn w:val="TableauNormal"/>
    <w:uiPriority w:val="47"/>
    <w:rsid w:val="00924684"/>
    <w:pPr>
      <w:spacing w:after="0" w:line="240" w:lineRule="auto"/>
    </w:pPr>
    <w:tblPr>
      <w:tblStyleRowBandSize w:val="1"/>
      <w:tblStyleColBandSize w:val="1"/>
      <w:tblBorders>
        <w:top w:val="single" w:sz="4" w:space="0" w:color="93C0E1" w:themeColor="accent3" w:themeTint="99"/>
        <w:bottom w:val="single" w:sz="4" w:space="0" w:color="93C0E1" w:themeColor="accent3" w:themeTint="99"/>
        <w:insideH w:val="single" w:sz="4" w:space="0" w:color="93C0E1"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AF5" w:themeFill="accent3" w:themeFillTint="33"/>
      </w:tcPr>
    </w:tblStylePr>
    <w:tblStylePr w:type="band1Horz">
      <w:tblPr/>
      <w:tcPr>
        <w:shd w:val="clear" w:color="auto" w:fill="DBEAF5" w:themeFill="accent3" w:themeFillTint="33"/>
      </w:tcPr>
    </w:tblStylePr>
  </w:style>
  <w:style w:type="table" w:styleId="TableauListe2-Accentuation4">
    <w:name w:val="List Table 2 Accent 4"/>
    <w:basedOn w:val="TableauNormal"/>
    <w:uiPriority w:val="47"/>
    <w:rsid w:val="00924684"/>
    <w:pPr>
      <w:spacing w:after="0" w:line="240" w:lineRule="auto"/>
    </w:pPr>
    <w:tblPr>
      <w:tblStyleRowBandSize w:val="1"/>
      <w:tblStyleColBandSize w:val="1"/>
      <w:tblBorders>
        <w:top w:val="single" w:sz="4" w:space="0" w:color="6CC4CB" w:themeColor="accent4" w:themeTint="99"/>
        <w:bottom w:val="single" w:sz="4" w:space="0" w:color="6CC4CB" w:themeColor="accent4" w:themeTint="99"/>
        <w:insideH w:val="single" w:sz="4" w:space="0" w:color="6CC4CB"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EEBED" w:themeFill="accent4" w:themeFillTint="33"/>
      </w:tcPr>
    </w:tblStylePr>
    <w:tblStylePr w:type="band1Horz">
      <w:tblPr/>
      <w:tcPr>
        <w:shd w:val="clear" w:color="auto" w:fill="CEEBED" w:themeFill="accent4" w:themeFillTint="33"/>
      </w:tcPr>
    </w:tblStylePr>
  </w:style>
  <w:style w:type="table" w:styleId="TableauListe2-Accentuation5">
    <w:name w:val="List Table 2 Accent 5"/>
    <w:basedOn w:val="TableauNormal"/>
    <w:uiPriority w:val="47"/>
    <w:rsid w:val="00924684"/>
    <w:pPr>
      <w:spacing w:after="0" w:line="240" w:lineRule="auto"/>
    </w:pPr>
    <w:tblPr>
      <w:tblStyleRowBandSize w:val="1"/>
      <w:tblStyleColBandSize w:val="1"/>
      <w:tblBorders>
        <w:top w:val="single" w:sz="4" w:space="0" w:color="FCD679" w:themeColor="accent5" w:themeTint="99"/>
        <w:bottom w:val="single" w:sz="4" w:space="0" w:color="FCD679" w:themeColor="accent5" w:themeTint="99"/>
        <w:insideH w:val="single" w:sz="4" w:space="0" w:color="FCD679"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F1D2" w:themeFill="accent5" w:themeFillTint="33"/>
      </w:tcPr>
    </w:tblStylePr>
    <w:tblStylePr w:type="band1Horz">
      <w:tblPr/>
      <w:tcPr>
        <w:shd w:val="clear" w:color="auto" w:fill="FEF1D2" w:themeFill="accent5" w:themeFillTint="33"/>
      </w:tcPr>
    </w:tblStylePr>
  </w:style>
  <w:style w:type="table" w:styleId="TableauListe2-Accentuation6">
    <w:name w:val="List Table 2 Accent 6"/>
    <w:basedOn w:val="TableauNormal"/>
    <w:uiPriority w:val="47"/>
    <w:rsid w:val="00924684"/>
    <w:pPr>
      <w:spacing w:after="0" w:line="240" w:lineRule="auto"/>
    </w:pPr>
    <w:tblPr>
      <w:tblStyleRowBandSize w:val="1"/>
      <w:tblStyleColBandSize w:val="1"/>
      <w:tblBorders>
        <w:top w:val="single" w:sz="4" w:space="0" w:color="E78DBA" w:themeColor="accent6" w:themeTint="99"/>
        <w:bottom w:val="single" w:sz="4" w:space="0" w:color="E78DBA" w:themeColor="accent6" w:themeTint="99"/>
        <w:insideH w:val="single" w:sz="4" w:space="0" w:color="E78DBA"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7D9E8" w:themeFill="accent6" w:themeFillTint="33"/>
      </w:tcPr>
    </w:tblStylePr>
    <w:tblStylePr w:type="band1Horz">
      <w:tblPr/>
      <w:tcPr>
        <w:shd w:val="clear" w:color="auto" w:fill="F7D9E8" w:themeFill="accent6" w:themeFillTint="33"/>
      </w:tcPr>
    </w:tblStylePr>
  </w:style>
  <w:style w:type="table" w:styleId="TableauListe3">
    <w:name w:val="List Table 3"/>
    <w:basedOn w:val="TableauNormal"/>
    <w:uiPriority w:val="48"/>
    <w:rsid w:val="00924684"/>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TableauListe3-Accentuation1">
    <w:name w:val="List Table 3 Accent 1"/>
    <w:basedOn w:val="TableauNormal"/>
    <w:uiPriority w:val="48"/>
    <w:rsid w:val="00924684"/>
    <w:pPr>
      <w:spacing w:after="0" w:line="240" w:lineRule="auto"/>
    </w:pPr>
    <w:tblPr>
      <w:tblStyleRowBandSize w:val="1"/>
      <w:tblStyleColBandSize w:val="1"/>
      <w:tblBorders>
        <w:top w:val="single" w:sz="4" w:space="0" w:color="E6443C" w:themeColor="accent1"/>
        <w:left w:val="single" w:sz="4" w:space="0" w:color="E6443C" w:themeColor="accent1"/>
        <w:bottom w:val="single" w:sz="4" w:space="0" w:color="E6443C" w:themeColor="accent1"/>
        <w:right w:val="single" w:sz="4" w:space="0" w:color="E6443C" w:themeColor="accent1"/>
      </w:tblBorders>
    </w:tblPr>
    <w:tblStylePr w:type="firstRow">
      <w:rPr>
        <w:b/>
        <w:bCs/>
        <w:color w:val="FFFFFF" w:themeColor="background1"/>
      </w:rPr>
      <w:tblPr/>
      <w:tcPr>
        <w:shd w:val="clear" w:color="auto" w:fill="E6443C" w:themeFill="accent1"/>
      </w:tcPr>
    </w:tblStylePr>
    <w:tblStylePr w:type="lastRow">
      <w:rPr>
        <w:b/>
        <w:bCs/>
      </w:rPr>
      <w:tblPr/>
      <w:tcPr>
        <w:tcBorders>
          <w:top w:val="double" w:sz="4" w:space="0" w:color="E6443C"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6443C" w:themeColor="accent1"/>
          <w:right w:val="single" w:sz="4" w:space="0" w:color="E6443C" w:themeColor="accent1"/>
        </w:tcBorders>
      </w:tcPr>
    </w:tblStylePr>
    <w:tblStylePr w:type="band1Horz">
      <w:tblPr/>
      <w:tcPr>
        <w:tcBorders>
          <w:top w:val="single" w:sz="4" w:space="0" w:color="E6443C" w:themeColor="accent1"/>
          <w:bottom w:val="single" w:sz="4" w:space="0" w:color="E6443C"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6443C" w:themeColor="accent1"/>
          <w:left w:val="nil"/>
        </w:tcBorders>
      </w:tcPr>
    </w:tblStylePr>
    <w:tblStylePr w:type="swCell">
      <w:tblPr/>
      <w:tcPr>
        <w:tcBorders>
          <w:top w:val="double" w:sz="4" w:space="0" w:color="E6443C" w:themeColor="accent1"/>
          <w:right w:val="nil"/>
        </w:tcBorders>
      </w:tcPr>
    </w:tblStylePr>
  </w:style>
  <w:style w:type="table" w:styleId="TableauListe3-Accentuation2">
    <w:name w:val="List Table 3 Accent 2"/>
    <w:basedOn w:val="TableauNormal"/>
    <w:uiPriority w:val="48"/>
    <w:rsid w:val="00924684"/>
    <w:pPr>
      <w:spacing w:after="0" w:line="240" w:lineRule="auto"/>
    </w:pPr>
    <w:tblPr>
      <w:tblStyleRowBandSize w:val="1"/>
      <w:tblStyleColBandSize w:val="1"/>
      <w:tblBorders>
        <w:top w:val="single" w:sz="4" w:space="0" w:color="A6589A" w:themeColor="accent2"/>
        <w:left w:val="single" w:sz="4" w:space="0" w:color="A6589A" w:themeColor="accent2"/>
        <w:bottom w:val="single" w:sz="4" w:space="0" w:color="A6589A" w:themeColor="accent2"/>
        <w:right w:val="single" w:sz="4" w:space="0" w:color="A6589A" w:themeColor="accent2"/>
      </w:tblBorders>
    </w:tblPr>
    <w:tblStylePr w:type="firstRow">
      <w:rPr>
        <w:b/>
        <w:bCs/>
        <w:color w:val="FFFFFF" w:themeColor="background1"/>
      </w:rPr>
      <w:tblPr/>
      <w:tcPr>
        <w:shd w:val="clear" w:color="auto" w:fill="A6589A" w:themeFill="accent2"/>
      </w:tcPr>
    </w:tblStylePr>
    <w:tblStylePr w:type="lastRow">
      <w:rPr>
        <w:b/>
        <w:bCs/>
      </w:rPr>
      <w:tblPr/>
      <w:tcPr>
        <w:tcBorders>
          <w:top w:val="double" w:sz="4" w:space="0" w:color="A6589A"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6589A" w:themeColor="accent2"/>
          <w:right w:val="single" w:sz="4" w:space="0" w:color="A6589A" w:themeColor="accent2"/>
        </w:tcBorders>
      </w:tcPr>
    </w:tblStylePr>
    <w:tblStylePr w:type="band1Horz">
      <w:tblPr/>
      <w:tcPr>
        <w:tcBorders>
          <w:top w:val="single" w:sz="4" w:space="0" w:color="A6589A" w:themeColor="accent2"/>
          <w:bottom w:val="single" w:sz="4" w:space="0" w:color="A6589A"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6589A" w:themeColor="accent2"/>
          <w:left w:val="nil"/>
        </w:tcBorders>
      </w:tcPr>
    </w:tblStylePr>
    <w:tblStylePr w:type="swCell">
      <w:tblPr/>
      <w:tcPr>
        <w:tcBorders>
          <w:top w:val="double" w:sz="4" w:space="0" w:color="A6589A" w:themeColor="accent2"/>
          <w:right w:val="nil"/>
        </w:tcBorders>
      </w:tcPr>
    </w:tblStylePr>
  </w:style>
  <w:style w:type="table" w:styleId="TableauListe3-Accentuation3">
    <w:name w:val="List Table 3 Accent 3"/>
    <w:basedOn w:val="TableauNormal"/>
    <w:uiPriority w:val="48"/>
    <w:rsid w:val="00924684"/>
    <w:pPr>
      <w:spacing w:after="0" w:line="240" w:lineRule="auto"/>
    </w:pPr>
    <w:tblPr>
      <w:tblStyleRowBandSize w:val="1"/>
      <w:tblStyleColBandSize w:val="1"/>
      <w:tblBorders>
        <w:top w:val="single" w:sz="4" w:space="0" w:color="4B97CD" w:themeColor="accent3"/>
        <w:left w:val="single" w:sz="4" w:space="0" w:color="4B97CD" w:themeColor="accent3"/>
        <w:bottom w:val="single" w:sz="4" w:space="0" w:color="4B97CD" w:themeColor="accent3"/>
        <w:right w:val="single" w:sz="4" w:space="0" w:color="4B97CD" w:themeColor="accent3"/>
      </w:tblBorders>
    </w:tblPr>
    <w:tblStylePr w:type="firstRow">
      <w:rPr>
        <w:b/>
        <w:bCs/>
        <w:color w:val="FFFFFF" w:themeColor="background1"/>
      </w:rPr>
      <w:tblPr/>
      <w:tcPr>
        <w:shd w:val="clear" w:color="auto" w:fill="4B97CD" w:themeFill="accent3"/>
      </w:tcPr>
    </w:tblStylePr>
    <w:tblStylePr w:type="lastRow">
      <w:rPr>
        <w:b/>
        <w:bCs/>
      </w:rPr>
      <w:tblPr/>
      <w:tcPr>
        <w:tcBorders>
          <w:top w:val="double" w:sz="4" w:space="0" w:color="4B97C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97CD" w:themeColor="accent3"/>
          <w:right w:val="single" w:sz="4" w:space="0" w:color="4B97CD" w:themeColor="accent3"/>
        </w:tcBorders>
      </w:tcPr>
    </w:tblStylePr>
    <w:tblStylePr w:type="band1Horz">
      <w:tblPr/>
      <w:tcPr>
        <w:tcBorders>
          <w:top w:val="single" w:sz="4" w:space="0" w:color="4B97CD" w:themeColor="accent3"/>
          <w:bottom w:val="single" w:sz="4" w:space="0" w:color="4B97C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97CD" w:themeColor="accent3"/>
          <w:left w:val="nil"/>
        </w:tcBorders>
      </w:tcPr>
    </w:tblStylePr>
    <w:tblStylePr w:type="swCell">
      <w:tblPr/>
      <w:tcPr>
        <w:tcBorders>
          <w:top w:val="double" w:sz="4" w:space="0" w:color="4B97CD" w:themeColor="accent3"/>
          <w:right w:val="nil"/>
        </w:tcBorders>
      </w:tcPr>
    </w:tblStylePr>
  </w:style>
  <w:style w:type="table" w:styleId="TableauListe3-Accentuation4">
    <w:name w:val="List Table 3 Accent 4"/>
    <w:basedOn w:val="TableauNormal"/>
    <w:uiPriority w:val="48"/>
    <w:rsid w:val="00924684"/>
    <w:pPr>
      <w:spacing w:after="0" w:line="240" w:lineRule="auto"/>
    </w:pPr>
    <w:tblPr>
      <w:tblStyleRowBandSize w:val="1"/>
      <w:tblStyleColBandSize w:val="1"/>
      <w:tblBorders>
        <w:top w:val="single" w:sz="4" w:space="0" w:color="2F7F85" w:themeColor="accent4"/>
        <w:left w:val="single" w:sz="4" w:space="0" w:color="2F7F85" w:themeColor="accent4"/>
        <w:bottom w:val="single" w:sz="4" w:space="0" w:color="2F7F85" w:themeColor="accent4"/>
        <w:right w:val="single" w:sz="4" w:space="0" w:color="2F7F85" w:themeColor="accent4"/>
      </w:tblBorders>
    </w:tblPr>
    <w:tblStylePr w:type="firstRow">
      <w:rPr>
        <w:b/>
        <w:bCs/>
        <w:color w:val="FFFFFF" w:themeColor="background1"/>
      </w:rPr>
      <w:tblPr/>
      <w:tcPr>
        <w:shd w:val="clear" w:color="auto" w:fill="2F7F85" w:themeFill="accent4"/>
      </w:tcPr>
    </w:tblStylePr>
    <w:tblStylePr w:type="lastRow">
      <w:rPr>
        <w:b/>
        <w:bCs/>
      </w:rPr>
      <w:tblPr/>
      <w:tcPr>
        <w:tcBorders>
          <w:top w:val="double" w:sz="4" w:space="0" w:color="2F7F8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F7F85" w:themeColor="accent4"/>
          <w:right w:val="single" w:sz="4" w:space="0" w:color="2F7F85" w:themeColor="accent4"/>
        </w:tcBorders>
      </w:tcPr>
    </w:tblStylePr>
    <w:tblStylePr w:type="band1Horz">
      <w:tblPr/>
      <w:tcPr>
        <w:tcBorders>
          <w:top w:val="single" w:sz="4" w:space="0" w:color="2F7F85" w:themeColor="accent4"/>
          <w:bottom w:val="single" w:sz="4" w:space="0" w:color="2F7F8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F7F85" w:themeColor="accent4"/>
          <w:left w:val="nil"/>
        </w:tcBorders>
      </w:tcPr>
    </w:tblStylePr>
    <w:tblStylePr w:type="swCell">
      <w:tblPr/>
      <w:tcPr>
        <w:tcBorders>
          <w:top w:val="double" w:sz="4" w:space="0" w:color="2F7F85" w:themeColor="accent4"/>
          <w:right w:val="nil"/>
        </w:tcBorders>
      </w:tcPr>
    </w:tblStylePr>
  </w:style>
  <w:style w:type="table" w:styleId="TableauListe3-Accentuation5">
    <w:name w:val="List Table 3 Accent 5"/>
    <w:basedOn w:val="TableauNormal"/>
    <w:uiPriority w:val="48"/>
    <w:rsid w:val="00924684"/>
    <w:pPr>
      <w:spacing w:after="0" w:line="240" w:lineRule="auto"/>
    </w:pPr>
    <w:tblPr>
      <w:tblStyleRowBandSize w:val="1"/>
      <w:tblStyleColBandSize w:val="1"/>
      <w:tblBorders>
        <w:top w:val="single" w:sz="4" w:space="0" w:color="FABC21" w:themeColor="accent5"/>
        <w:left w:val="single" w:sz="4" w:space="0" w:color="FABC21" w:themeColor="accent5"/>
        <w:bottom w:val="single" w:sz="4" w:space="0" w:color="FABC21" w:themeColor="accent5"/>
        <w:right w:val="single" w:sz="4" w:space="0" w:color="FABC21" w:themeColor="accent5"/>
      </w:tblBorders>
    </w:tblPr>
    <w:tblStylePr w:type="firstRow">
      <w:rPr>
        <w:b/>
        <w:bCs/>
        <w:color w:val="FFFFFF" w:themeColor="background1"/>
      </w:rPr>
      <w:tblPr/>
      <w:tcPr>
        <w:shd w:val="clear" w:color="auto" w:fill="FABC21" w:themeFill="accent5"/>
      </w:tcPr>
    </w:tblStylePr>
    <w:tblStylePr w:type="lastRow">
      <w:rPr>
        <w:b/>
        <w:bCs/>
      </w:rPr>
      <w:tblPr/>
      <w:tcPr>
        <w:tcBorders>
          <w:top w:val="double" w:sz="4" w:space="0" w:color="FABC2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ABC21" w:themeColor="accent5"/>
          <w:right w:val="single" w:sz="4" w:space="0" w:color="FABC21" w:themeColor="accent5"/>
        </w:tcBorders>
      </w:tcPr>
    </w:tblStylePr>
    <w:tblStylePr w:type="band1Horz">
      <w:tblPr/>
      <w:tcPr>
        <w:tcBorders>
          <w:top w:val="single" w:sz="4" w:space="0" w:color="FABC21" w:themeColor="accent5"/>
          <w:bottom w:val="single" w:sz="4" w:space="0" w:color="FABC2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ABC21" w:themeColor="accent5"/>
          <w:left w:val="nil"/>
        </w:tcBorders>
      </w:tcPr>
    </w:tblStylePr>
    <w:tblStylePr w:type="swCell">
      <w:tblPr/>
      <w:tcPr>
        <w:tcBorders>
          <w:top w:val="double" w:sz="4" w:space="0" w:color="FABC21" w:themeColor="accent5"/>
          <w:right w:val="nil"/>
        </w:tcBorders>
      </w:tcPr>
    </w:tblStylePr>
  </w:style>
  <w:style w:type="table" w:styleId="TableauListe3-Accentuation6">
    <w:name w:val="List Table 3 Accent 6"/>
    <w:basedOn w:val="TableauNormal"/>
    <w:uiPriority w:val="48"/>
    <w:rsid w:val="00924684"/>
    <w:pPr>
      <w:spacing w:after="0" w:line="240" w:lineRule="auto"/>
    </w:pPr>
    <w:tblPr>
      <w:tblStyleRowBandSize w:val="1"/>
      <w:tblStyleColBandSize w:val="1"/>
      <w:tblBorders>
        <w:top w:val="single" w:sz="4" w:space="0" w:color="D7418D" w:themeColor="accent6"/>
        <w:left w:val="single" w:sz="4" w:space="0" w:color="D7418D" w:themeColor="accent6"/>
        <w:bottom w:val="single" w:sz="4" w:space="0" w:color="D7418D" w:themeColor="accent6"/>
        <w:right w:val="single" w:sz="4" w:space="0" w:color="D7418D" w:themeColor="accent6"/>
      </w:tblBorders>
    </w:tblPr>
    <w:tblStylePr w:type="firstRow">
      <w:rPr>
        <w:b/>
        <w:bCs/>
        <w:color w:val="FFFFFF" w:themeColor="background1"/>
      </w:rPr>
      <w:tblPr/>
      <w:tcPr>
        <w:shd w:val="clear" w:color="auto" w:fill="D7418D" w:themeFill="accent6"/>
      </w:tcPr>
    </w:tblStylePr>
    <w:tblStylePr w:type="lastRow">
      <w:rPr>
        <w:b/>
        <w:bCs/>
      </w:rPr>
      <w:tblPr/>
      <w:tcPr>
        <w:tcBorders>
          <w:top w:val="double" w:sz="4" w:space="0" w:color="D7418D"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D7418D" w:themeColor="accent6"/>
          <w:right w:val="single" w:sz="4" w:space="0" w:color="D7418D" w:themeColor="accent6"/>
        </w:tcBorders>
      </w:tcPr>
    </w:tblStylePr>
    <w:tblStylePr w:type="band1Horz">
      <w:tblPr/>
      <w:tcPr>
        <w:tcBorders>
          <w:top w:val="single" w:sz="4" w:space="0" w:color="D7418D" w:themeColor="accent6"/>
          <w:bottom w:val="single" w:sz="4" w:space="0" w:color="D7418D"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D7418D" w:themeColor="accent6"/>
          <w:left w:val="nil"/>
        </w:tcBorders>
      </w:tcPr>
    </w:tblStylePr>
    <w:tblStylePr w:type="swCell">
      <w:tblPr/>
      <w:tcPr>
        <w:tcBorders>
          <w:top w:val="double" w:sz="4" w:space="0" w:color="D7418D" w:themeColor="accent6"/>
          <w:right w:val="nil"/>
        </w:tcBorders>
      </w:tcPr>
    </w:tblStylePr>
  </w:style>
  <w:style w:type="table" w:styleId="TableauListe4">
    <w:name w:val="List Table 4"/>
    <w:basedOn w:val="TableauNormal"/>
    <w:uiPriority w:val="49"/>
    <w:rsid w:val="0092468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4-Accentuation1">
    <w:name w:val="List Table 4 Accent 1"/>
    <w:basedOn w:val="TableauNormal"/>
    <w:uiPriority w:val="49"/>
    <w:rsid w:val="00924684"/>
    <w:pPr>
      <w:spacing w:after="0" w:line="240" w:lineRule="auto"/>
    </w:pPr>
    <w:tblPr>
      <w:tblStyleRowBandSize w:val="1"/>
      <w:tblStyleColBandSize w:val="1"/>
      <w:tblBorders>
        <w:top w:val="single" w:sz="4" w:space="0" w:color="F08E8A" w:themeColor="accent1" w:themeTint="99"/>
        <w:left w:val="single" w:sz="4" w:space="0" w:color="F08E8A" w:themeColor="accent1" w:themeTint="99"/>
        <w:bottom w:val="single" w:sz="4" w:space="0" w:color="F08E8A" w:themeColor="accent1" w:themeTint="99"/>
        <w:right w:val="single" w:sz="4" w:space="0" w:color="F08E8A" w:themeColor="accent1" w:themeTint="99"/>
        <w:insideH w:val="single" w:sz="4" w:space="0" w:color="F08E8A" w:themeColor="accent1" w:themeTint="99"/>
      </w:tblBorders>
    </w:tblPr>
    <w:tblStylePr w:type="firstRow">
      <w:rPr>
        <w:b/>
        <w:bCs/>
        <w:color w:val="FFFFFF" w:themeColor="background1"/>
      </w:rPr>
      <w:tblPr/>
      <w:tcPr>
        <w:tcBorders>
          <w:top w:val="single" w:sz="4" w:space="0" w:color="E6443C" w:themeColor="accent1"/>
          <w:left w:val="single" w:sz="4" w:space="0" w:color="E6443C" w:themeColor="accent1"/>
          <w:bottom w:val="single" w:sz="4" w:space="0" w:color="E6443C" w:themeColor="accent1"/>
          <w:right w:val="single" w:sz="4" w:space="0" w:color="E6443C" w:themeColor="accent1"/>
          <w:insideH w:val="nil"/>
        </w:tcBorders>
        <w:shd w:val="clear" w:color="auto" w:fill="E6443C" w:themeFill="accent1"/>
      </w:tcPr>
    </w:tblStylePr>
    <w:tblStylePr w:type="lastRow">
      <w:rPr>
        <w:b/>
        <w:bCs/>
      </w:rPr>
      <w:tblPr/>
      <w:tcPr>
        <w:tcBorders>
          <w:top w:val="double" w:sz="4" w:space="0" w:color="F08E8A" w:themeColor="accent1" w:themeTint="99"/>
        </w:tcBorders>
      </w:tcPr>
    </w:tblStylePr>
    <w:tblStylePr w:type="firstCol">
      <w:rPr>
        <w:b/>
        <w:bCs/>
      </w:rPr>
    </w:tblStylePr>
    <w:tblStylePr w:type="lastCol">
      <w:rPr>
        <w:b/>
        <w:bCs/>
      </w:rPr>
    </w:tblStylePr>
    <w:tblStylePr w:type="band1Vert">
      <w:tblPr/>
      <w:tcPr>
        <w:shd w:val="clear" w:color="auto" w:fill="FAD9D8" w:themeFill="accent1" w:themeFillTint="33"/>
      </w:tcPr>
    </w:tblStylePr>
    <w:tblStylePr w:type="band1Horz">
      <w:tblPr/>
      <w:tcPr>
        <w:shd w:val="clear" w:color="auto" w:fill="FAD9D8" w:themeFill="accent1" w:themeFillTint="33"/>
      </w:tcPr>
    </w:tblStylePr>
  </w:style>
  <w:style w:type="table" w:styleId="TableauListe4-Accentuation2">
    <w:name w:val="List Table 4 Accent 2"/>
    <w:basedOn w:val="TableauNormal"/>
    <w:uiPriority w:val="49"/>
    <w:rsid w:val="00924684"/>
    <w:pPr>
      <w:spacing w:after="0" w:line="240" w:lineRule="auto"/>
    </w:pPr>
    <w:tblPr>
      <w:tblStyleRowBandSize w:val="1"/>
      <w:tblStyleColBandSize w:val="1"/>
      <w:tblBorders>
        <w:top w:val="single" w:sz="4" w:space="0" w:color="C99AC2" w:themeColor="accent2" w:themeTint="99"/>
        <w:left w:val="single" w:sz="4" w:space="0" w:color="C99AC2" w:themeColor="accent2" w:themeTint="99"/>
        <w:bottom w:val="single" w:sz="4" w:space="0" w:color="C99AC2" w:themeColor="accent2" w:themeTint="99"/>
        <w:right w:val="single" w:sz="4" w:space="0" w:color="C99AC2" w:themeColor="accent2" w:themeTint="99"/>
        <w:insideH w:val="single" w:sz="4" w:space="0" w:color="C99AC2" w:themeColor="accent2" w:themeTint="99"/>
      </w:tblBorders>
    </w:tblPr>
    <w:tblStylePr w:type="firstRow">
      <w:rPr>
        <w:b/>
        <w:bCs/>
        <w:color w:val="FFFFFF" w:themeColor="background1"/>
      </w:rPr>
      <w:tblPr/>
      <w:tcPr>
        <w:tcBorders>
          <w:top w:val="single" w:sz="4" w:space="0" w:color="A6589A" w:themeColor="accent2"/>
          <w:left w:val="single" w:sz="4" w:space="0" w:color="A6589A" w:themeColor="accent2"/>
          <w:bottom w:val="single" w:sz="4" w:space="0" w:color="A6589A" w:themeColor="accent2"/>
          <w:right w:val="single" w:sz="4" w:space="0" w:color="A6589A" w:themeColor="accent2"/>
          <w:insideH w:val="nil"/>
        </w:tcBorders>
        <w:shd w:val="clear" w:color="auto" w:fill="A6589A" w:themeFill="accent2"/>
      </w:tcPr>
    </w:tblStylePr>
    <w:tblStylePr w:type="lastRow">
      <w:rPr>
        <w:b/>
        <w:bCs/>
      </w:rPr>
      <w:tblPr/>
      <w:tcPr>
        <w:tcBorders>
          <w:top w:val="double" w:sz="4" w:space="0" w:color="C99AC2" w:themeColor="accent2" w:themeTint="99"/>
        </w:tcBorders>
      </w:tcPr>
    </w:tblStylePr>
    <w:tblStylePr w:type="firstCol">
      <w:rPr>
        <w:b/>
        <w:bCs/>
      </w:rPr>
    </w:tblStylePr>
    <w:tblStylePr w:type="lastCol">
      <w:rPr>
        <w:b/>
        <w:bCs/>
      </w:rPr>
    </w:tblStylePr>
    <w:tblStylePr w:type="band1Vert">
      <w:tblPr/>
      <w:tcPr>
        <w:shd w:val="clear" w:color="auto" w:fill="EDDDEA" w:themeFill="accent2" w:themeFillTint="33"/>
      </w:tcPr>
    </w:tblStylePr>
    <w:tblStylePr w:type="band1Horz">
      <w:tblPr/>
      <w:tcPr>
        <w:shd w:val="clear" w:color="auto" w:fill="EDDDEA" w:themeFill="accent2" w:themeFillTint="33"/>
      </w:tcPr>
    </w:tblStylePr>
  </w:style>
  <w:style w:type="table" w:styleId="TableauListe4-Accentuation3">
    <w:name w:val="List Table 4 Accent 3"/>
    <w:basedOn w:val="TableauNormal"/>
    <w:uiPriority w:val="49"/>
    <w:rsid w:val="00924684"/>
    <w:pPr>
      <w:spacing w:after="0" w:line="240" w:lineRule="auto"/>
    </w:pPr>
    <w:tblPr>
      <w:tblStyleRowBandSize w:val="1"/>
      <w:tblStyleColBandSize w:val="1"/>
      <w:tblBorders>
        <w:top w:val="single" w:sz="4" w:space="0" w:color="93C0E1" w:themeColor="accent3" w:themeTint="99"/>
        <w:left w:val="single" w:sz="4" w:space="0" w:color="93C0E1" w:themeColor="accent3" w:themeTint="99"/>
        <w:bottom w:val="single" w:sz="4" w:space="0" w:color="93C0E1" w:themeColor="accent3" w:themeTint="99"/>
        <w:right w:val="single" w:sz="4" w:space="0" w:color="93C0E1" w:themeColor="accent3" w:themeTint="99"/>
        <w:insideH w:val="single" w:sz="4" w:space="0" w:color="93C0E1" w:themeColor="accent3" w:themeTint="99"/>
      </w:tblBorders>
    </w:tblPr>
    <w:tblStylePr w:type="firstRow">
      <w:rPr>
        <w:b/>
        <w:bCs/>
        <w:color w:val="FFFFFF" w:themeColor="background1"/>
      </w:rPr>
      <w:tblPr/>
      <w:tcPr>
        <w:tcBorders>
          <w:top w:val="single" w:sz="4" w:space="0" w:color="4B97CD" w:themeColor="accent3"/>
          <w:left w:val="single" w:sz="4" w:space="0" w:color="4B97CD" w:themeColor="accent3"/>
          <w:bottom w:val="single" w:sz="4" w:space="0" w:color="4B97CD" w:themeColor="accent3"/>
          <w:right w:val="single" w:sz="4" w:space="0" w:color="4B97CD" w:themeColor="accent3"/>
          <w:insideH w:val="nil"/>
        </w:tcBorders>
        <w:shd w:val="clear" w:color="auto" w:fill="4B97CD" w:themeFill="accent3"/>
      </w:tcPr>
    </w:tblStylePr>
    <w:tblStylePr w:type="lastRow">
      <w:rPr>
        <w:b/>
        <w:bCs/>
      </w:rPr>
      <w:tblPr/>
      <w:tcPr>
        <w:tcBorders>
          <w:top w:val="double" w:sz="4" w:space="0" w:color="93C0E1" w:themeColor="accent3" w:themeTint="99"/>
        </w:tcBorders>
      </w:tcPr>
    </w:tblStylePr>
    <w:tblStylePr w:type="firstCol">
      <w:rPr>
        <w:b/>
        <w:bCs/>
      </w:rPr>
    </w:tblStylePr>
    <w:tblStylePr w:type="lastCol">
      <w:rPr>
        <w:b/>
        <w:bCs/>
      </w:rPr>
    </w:tblStylePr>
    <w:tblStylePr w:type="band1Vert">
      <w:tblPr/>
      <w:tcPr>
        <w:shd w:val="clear" w:color="auto" w:fill="DBEAF5" w:themeFill="accent3" w:themeFillTint="33"/>
      </w:tcPr>
    </w:tblStylePr>
    <w:tblStylePr w:type="band1Horz">
      <w:tblPr/>
      <w:tcPr>
        <w:shd w:val="clear" w:color="auto" w:fill="DBEAF5" w:themeFill="accent3" w:themeFillTint="33"/>
      </w:tcPr>
    </w:tblStylePr>
  </w:style>
  <w:style w:type="table" w:styleId="TableauListe4-Accentuation4">
    <w:name w:val="List Table 4 Accent 4"/>
    <w:basedOn w:val="TableauNormal"/>
    <w:uiPriority w:val="49"/>
    <w:rsid w:val="00924684"/>
    <w:pPr>
      <w:spacing w:after="0" w:line="240" w:lineRule="auto"/>
    </w:pPr>
    <w:tblPr>
      <w:tblStyleRowBandSize w:val="1"/>
      <w:tblStyleColBandSize w:val="1"/>
      <w:tblBorders>
        <w:top w:val="single" w:sz="4" w:space="0" w:color="6CC4CB" w:themeColor="accent4" w:themeTint="99"/>
        <w:left w:val="single" w:sz="4" w:space="0" w:color="6CC4CB" w:themeColor="accent4" w:themeTint="99"/>
        <w:bottom w:val="single" w:sz="4" w:space="0" w:color="6CC4CB" w:themeColor="accent4" w:themeTint="99"/>
        <w:right w:val="single" w:sz="4" w:space="0" w:color="6CC4CB" w:themeColor="accent4" w:themeTint="99"/>
        <w:insideH w:val="single" w:sz="4" w:space="0" w:color="6CC4CB" w:themeColor="accent4" w:themeTint="99"/>
      </w:tblBorders>
    </w:tblPr>
    <w:tblStylePr w:type="firstRow">
      <w:rPr>
        <w:b/>
        <w:bCs/>
        <w:color w:val="FFFFFF" w:themeColor="background1"/>
      </w:rPr>
      <w:tblPr/>
      <w:tcPr>
        <w:tcBorders>
          <w:top w:val="single" w:sz="4" w:space="0" w:color="2F7F85" w:themeColor="accent4"/>
          <w:left w:val="single" w:sz="4" w:space="0" w:color="2F7F85" w:themeColor="accent4"/>
          <w:bottom w:val="single" w:sz="4" w:space="0" w:color="2F7F85" w:themeColor="accent4"/>
          <w:right w:val="single" w:sz="4" w:space="0" w:color="2F7F85" w:themeColor="accent4"/>
          <w:insideH w:val="nil"/>
        </w:tcBorders>
        <w:shd w:val="clear" w:color="auto" w:fill="2F7F85" w:themeFill="accent4"/>
      </w:tcPr>
    </w:tblStylePr>
    <w:tblStylePr w:type="lastRow">
      <w:rPr>
        <w:b/>
        <w:bCs/>
      </w:rPr>
      <w:tblPr/>
      <w:tcPr>
        <w:tcBorders>
          <w:top w:val="double" w:sz="4" w:space="0" w:color="6CC4CB" w:themeColor="accent4" w:themeTint="99"/>
        </w:tcBorders>
      </w:tcPr>
    </w:tblStylePr>
    <w:tblStylePr w:type="firstCol">
      <w:rPr>
        <w:b/>
        <w:bCs/>
      </w:rPr>
    </w:tblStylePr>
    <w:tblStylePr w:type="lastCol">
      <w:rPr>
        <w:b/>
        <w:bCs/>
      </w:rPr>
    </w:tblStylePr>
    <w:tblStylePr w:type="band1Vert">
      <w:tblPr/>
      <w:tcPr>
        <w:shd w:val="clear" w:color="auto" w:fill="CEEBED" w:themeFill="accent4" w:themeFillTint="33"/>
      </w:tcPr>
    </w:tblStylePr>
    <w:tblStylePr w:type="band1Horz">
      <w:tblPr/>
      <w:tcPr>
        <w:shd w:val="clear" w:color="auto" w:fill="CEEBED" w:themeFill="accent4" w:themeFillTint="33"/>
      </w:tcPr>
    </w:tblStylePr>
  </w:style>
  <w:style w:type="table" w:styleId="TableauListe4-Accentuation5">
    <w:name w:val="List Table 4 Accent 5"/>
    <w:basedOn w:val="TableauNormal"/>
    <w:uiPriority w:val="49"/>
    <w:rsid w:val="00924684"/>
    <w:pPr>
      <w:spacing w:after="0" w:line="240" w:lineRule="auto"/>
    </w:pPr>
    <w:tblPr>
      <w:tblStyleRowBandSize w:val="1"/>
      <w:tblStyleColBandSize w:val="1"/>
      <w:tblBorders>
        <w:top w:val="single" w:sz="4" w:space="0" w:color="FCD679" w:themeColor="accent5" w:themeTint="99"/>
        <w:left w:val="single" w:sz="4" w:space="0" w:color="FCD679" w:themeColor="accent5" w:themeTint="99"/>
        <w:bottom w:val="single" w:sz="4" w:space="0" w:color="FCD679" w:themeColor="accent5" w:themeTint="99"/>
        <w:right w:val="single" w:sz="4" w:space="0" w:color="FCD679" w:themeColor="accent5" w:themeTint="99"/>
        <w:insideH w:val="single" w:sz="4" w:space="0" w:color="FCD679" w:themeColor="accent5" w:themeTint="99"/>
      </w:tblBorders>
    </w:tblPr>
    <w:tblStylePr w:type="firstRow">
      <w:rPr>
        <w:b/>
        <w:bCs/>
        <w:color w:val="FFFFFF" w:themeColor="background1"/>
      </w:rPr>
      <w:tblPr/>
      <w:tcPr>
        <w:tcBorders>
          <w:top w:val="single" w:sz="4" w:space="0" w:color="FABC21" w:themeColor="accent5"/>
          <w:left w:val="single" w:sz="4" w:space="0" w:color="FABC21" w:themeColor="accent5"/>
          <w:bottom w:val="single" w:sz="4" w:space="0" w:color="FABC21" w:themeColor="accent5"/>
          <w:right w:val="single" w:sz="4" w:space="0" w:color="FABC21" w:themeColor="accent5"/>
          <w:insideH w:val="nil"/>
        </w:tcBorders>
        <w:shd w:val="clear" w:color="auto" w:fill="FABC21" w:themeFill="accent5"/>
      </w:tcPr>
    </w:tblStylePr>
    <w:tblStylePr w:type="lastRow">
      <w:rPr>
        <w:b/>
        <w:bCs/>
      </w:rPr>
      <w:tblPr/>
      <w:tcPr>
        <w:tcBorders>
          <w:top w:val="double" w:sz="4" w:space="0" w:color="FCD679" w:themeColor="accent5" w:themeTint="99"/>
        </w:tcBorders>
      </w:tcPr>
    </w:tblStylePr>
    <w:tblStylePr w:type="firstCol">
      <w:rPr>
        <w:b/>
        <w:bCs/>
      </w:rPr>
    </w:tblStylePr>
    <w:tblStylePr w:type="lastCol">
      <w:rPr>
        <w:b/>
        <w:bCs/>
      </w:rPr>
    </w:tblStylePr>
    <w:tblStylePr w:type="band1Vert">
      <w:tblPr/>
      <w:tcPr>
        <w:shd w:val="clear" w:color="auto" w:fill="FEF1D2" w:themeFill="accent5" w:themeFillTint="33"/>
      </w:tcPr>
    </w:tblStylePr>
    <w:tblStylePr w:type="band1Horz">
      <w:tblPr/>
      <w:tcPr>
        <w:shd w:val="clear" w:color="auto" w:fill="FEF1D2" w:themeFill="accent5" w:themeFillTint="33"/>
      </w:tcPr>
    </w:tblStylePr>
  </w:style>
  <w:style w:type="table" w:styleId="TableauListe4-Accentuation6">
    <w:name w:val="List Table 4 Accent 6"/>
    <w:basedOn w:val="TableauNormal"/>
    <w:uiPriority w:val="49"/>
    <w:rsid w:val="00924684"/>
    <w:pPr>
      <w:spacing w:after="0" w:line="240" w:lineRule="auto"/>
    </w:pPr>
    <w:tblPr>
      <w:tblStyleRowBandSize w:val="1"/>
      <w:tblStyleColBandSize w:val="1"/>
      <w:tblBorders>
        <w:top w:val="single" w:sz="4" w:space="0" w:color="E78DBA" w:themeColor="accent6" w:themeTint="99"/>
        <w:left w:val="single" w:sz="4" w:space="0" w:color="E78DBA" w:themeColor="accent6" w:themeTint="99"/>
        <w:bottom w:val="single" w:sz="4" w:space="0" w:color="E78DBA" w:themeColor="accent6" w:themeTint="99"/>
        <w:right w:val="single" w:sz="4" w:space="0" w:color="E78DBA" w:themeColor="accent6" w:themeTint="99"/>
        <w:insideH w:val="single" w:sz="4" w:space="0" w:color="E78DBA" w:themeColor="accent6" w:themeTint="99"/>
      </w:tblBorders>
    </w:tblPr>
    <w:tblStylePr w:type="firstRow">
      <w:rPr>
        <w:b/>
        <w:bCs/>
        <w:color w:val="FFFFFF" w:themeColor="background1"/>
      </w:rPr>
      <w:tblPr/>
      <w:tcPr>
        <w:tcBorders>
          <w:top w:val="single" w:sz="4" w:space="0" w:color="D7418D" w:themeColor="accent6"/>
          <w:left w:val="single" w:sz="4" w:space="0" w:color="D7418D" w:themeColor="accent6"/>
          <w:bottom w:val="single" w:sz="4" w:space="0" w:color="D7418D" w:themeColor="accent6"/>
          <w:right w:val="single" w:sz="4" w:space="0" w:color="D7418D" w:themeColor="accent6"/>
          <w:insideH w:val="nil"/>
        </w:tcBorders>
        <w:shd w:val="clear" w:color="auto" w:fill="D7418D" w:themeFill="accent6"/>
      </w:tcPr>
    </w:tblStylePr>
    <w:tblStylePr w:type="lastRow">
      <w:rPr>
        <w:b/>
        <w:bCs/>
      </w:rPr>
      <w:tblPr/>
      <w:tcPr>
        <w:tcBorders>
          <w:top w:val="double" w:sz="4" w:space="0" w:color="E78DBA" w:themeColor="accent6" w:themeTint="99"/>
        </w:tcBorders>
      </w:tcPr>
    </w:tblStylePr>
    <w:tblStylePr w:type="firstCol">
      <w:rPr>
        <w:b/>
        <w:bCs/>
      </w:rPr>
    </w:tblStylePr>
    <w:tblStylePr w:type="lastCol">
      <w:rPr>
        <w:b/>
        <w:bCs/>
      </w:rPr>
    </w:tblStylePr>
    <w:tblStylePr w:type="band1Vert">
      <w:tblPr/>
      <w:tcPr>
        <w:shd w:val="clear" w:color="auto" w:fill="F7D9E8" w:themeFill="accent6" w:themeFillTint="33"/>
      </w:tcPr>
    </w:tblStylePr>
    <w:tblStylePr w:type="band1Horz">
      <w:tblPr/>
      <w:tcPr>
        <w:shd w:val="clear" w:color="auto" w:fill="F7D9E8" w:themeFill="accent6" w:themeFillTint="33"/>
      </w:tcPr>
    </w:tblStylePr>
  </w:style>
  <w:style w:type="table" w:styleId="TableauListe5Fonc">
    <w:name w:val="List Table 5 Dark"/>
    <w:basedOn w:val="TableauNormal"/>
    <w:uiPriority w:val="50"/>
    <w:rsid w:val="00924684"/>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ableauListe5Fonc-Accentuation1">
    <w:name w:val="List Table 5 Dark Accent 1"/>
    <w:basedOn w:val="TableauNormal"/>
    <w:uiPriority w:val="50"/>
    <w:rsid w:val="00924684"/>
    <w:pPr>
      <w:spacing w:after="0" w:line="240" w:lineRule="auto"/>
    </w:pPr>
    <w:rPr>
      <w:color w:val="FFFFFF" w:themeColor="background1"/>
    </w:rPr>
    <w:tblPr>
      <w:tblStyleRowBandSize w:val="1"/>
      <w:tblStyleColBandSize w:val="1"/>
      <w:tblBorders>
        <w:top w:val="single" w:sz="24" w:space="0" w:color="E6443C" w:themeColor="accent1"/>
        <w:left w:val="single" w:sz="24" w:space="0" w:color="E6443C" w:themeColor="accent1"/>
        <w:bottom w:val="single" w:sz="24" w:space="0" w:color="E6443C" w:themeColor="accent1"/>
        <w:right w:val="single" w:sz="24" w:space="0" w:color="E6443C" w:themeColor="accent1"/>
      </w:tblBorders>
    </w:tblPr>
    <w:tcPr>
      <w:shd w:val="clear" w:color="auto" w:fill="E6443C"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ableauListe5Fonc-Accentuation2">
    <w:name w:val="List Table 5 Dark Accent 2"/>
    <w:basedOn w:val="TableauNormal"/>
    <w:uiPriority w:val="50"/>
    <w:rsid w:val="00924684"/>
    <w:pPr>
      <w:spacing w:after="0" w:line="240" w:lineRule="auto"/>
    </w:pPr>
    <w:rPr>
      <w:color w:val="FFFFFF" w:themeColor="background1"/>
    </w:rPr>
    <w:tblPr>
      <w:tblStyleRowBandSize w:val="1"/>
      <w:tblStyleColBandSize w:val="1"/>
      <w:tblBorders>
        <w:top w:val="single" w:sz="24" w:space="0" w:color="A6589A" w:themeColor="accent2"/>
        <w:left w:val="single" w:sz="24" w:space="0" w:color="A6589A" w:themeColor="accent2"/>
        <w:bottom w:val="single" w:sz="24" w:space="0" w:color="A6589A" w:themeColor="accent2"/>
        <w:right w:val="single" w:sz="24" w:space="0" w:color="A6589A" w:themeColor="accent2"/>
      </w:tblBorders>
    </w:tblPr>
    <w:tcPr>
      <w:shd w:val="clear" w:color="auto" w:fill="A6589A"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ableauListe5Fonc-Accentuation3">
    <w:name w:val="List Table 5 Dark Accent 3"/>
    <w:basedOn w:val="TableauNormal"/>
    <w:uiPriority w:val="50"/>
    <w:rsid w:val="00924684"/>
    <w:pPr>
      <w:spacing w:after="0" w:line="240" w:lineRule="auto"/>
    </w:pPr>
    <w:rPr>
      <w:color w:val="FFFFFF" w:themeColor="background1"/>
    </w:rPr>
    <w:tblPr>
      <w:tblStyleRowBandSize w:val="1"/>
      <w:tblStyleColBandSize w:val="1"/>
      <w:tblBorders>
        <w:top w:val="single" w:sz="24" w:space="0" w:color="4B97CD" w:themeColor="accent3"/>
        <w:left w:val="single" w:sz="24" w:space="0" w:color="4B97CD" w:themeColor="accent3"/>
        <w:bottom w:val="single" w:sz="24" w:space="0" w:color="4B97CD" w:themeColor="accent3"/>
        <w:right w:val="single" w:sz="24" w:space="0" w:color="4B97CD" w:themeColor="accent3"/>
      </w:tblBorders>
    </w:tblPr>
    <w:tcPr>
      <w:shd w:val="clear" w:color="auto" w:fill="4B97C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ableauListe5Fonc-Accentuation4">
    <w:name w:val="List Table 5 Dark Accent 4"/>
    <w:basedOn w:val="TableauNormal"/>
    <w:uiPriority w:val="50"/>
    <w:rsid w:val="00924684"/>
    <w:pPr>
      <w:spacing w:after="0" w:line="240" w:lineRule="auto"/>
    </w:pPr>
    <w:rPr>
      <w:color w:val="FFFFFF" w:themeColor="background1"/>
    </w:rPr>
    <w:tblPr>
      <w:tblStyleRowBandSize w:val="1"/>
      <w:tblStyleColBandSize w:val="1"/>
      <w:tblBorders>
        <w:top w:val="single" w:sz="24" w:space="0" w:color="2F7F85" w:themeColor="accent4"/>
        <w:left w:val="single" w:sz="24" w:space="0" w:color="2F7F85" w:themeColor="accent4"/>
        <w:bottom w:val="single" w:sz="24" w:space="0" w:color="2F7F85" w:themeColor="accent4"/>
        <w:right w:val="single" w:sz="24" w:space="0" w:color="2F7F85" w:themeColor="accent4"/>
      </w:tblBorders>
    </w:tblPr>
    <w:tcPr>
      <w:shd w:val="clear" w:color="auto" w:fill="2F7F8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ableauListe5Fonc-Accentuation5">
    <w:name w:val="List Table 5 Dark Accent 5"/>
    <w:basedOn w:val="TableauNormal"/>
    <w:uiPriority w:val="50"/>
    <w:rsid w:val="00924684"/>
    <w:pPr>
      <w:spacing w:after="0" w:line="240" w:lineRule="auto"/>
    </w:pPr>
    <w:rPr>
      <w:color w:val="FFFFFF" w:themeColor="background1"/>
    </w:rPr>
    <w:tblPr>
      <w:tblStyleRowBandSize w:val="1"/>
      <w:tblStyleColBandSize w:val="1"/>
      <w:tblBorders>
        <w:top w:val="single" w:sz="24" w:space="0" w:color="FABC21" w:themeColor="accent5"/>
        <w:left w:val="single" w:sz="24" w:space="0" w:color="FABC21" w:themeColor="accent5"/>
        <w:bottom w:val="single" w:sz="24" w:space="0" w:color="FABC21" w:themeColor="accent5"/>
        <w:right w:val="single" w:sz="24" w:space="0" w:color="FABC21" w:themeColor="accent5"/>
      </w:tblBorders>
    </w:tblPr>
    <w:tcPr>
      <w:shd w:val="clear" w:color="auto" w:fill="FABC2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ableauListe5Fonc-Accentuation6">
    <w:name w:val="List Table 5 Dark Accent 6"/>
    <w:basedOn w:val="TableauNormal"/>
    <w:uiPriority w:val="50"/>
    <w:rsid w:val="00924684"/>
    <w:pPr>
      <w:spacing w:after="0" w:line="240" w:lineRule="auto"/>
    </w:pPr>
    <w:rPr>
      <w:color w:val="FFFFFF" w:themeColor="background1"/>
    </w:rPr>
    <w:tblPr>
      <w:tblStyleRowBandSize w:val="1"/>
      <w:tblStyleColBandSize w:val="1"/>
      <w:tblBorders>
        <w:top w:val="single" w:sz="24" w:space="0" w:color="D7418D" w:themeColor="accent6"/>
        <w:left w:val="single" w:sz="24" w:space="0" w:color="D7418D" w:themeColor="accent6"/>
        <w:bottom w:val="single" w:sz="24" w:space="0" w:color="D7418D" w:themeColor="accent6"/>
        <w:right w:val="single" w:sz="24" w:space="0" w:color="D7418D" w:themeColor="accent6"/>
      </w:tblBorders>
    </w:tblPr>
    <w:tcPr>
      <w:shd w:val="clear" w:color="auto" w:fill="D7418D"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TableauListe6Couleur">
    <w:name w:val="List Table 6 Colorful"/>
    <w:basedOn w:val="TableauNormal"/>
    <w:uiPriority w:val="51"/>
    <w:rsid w:val="00924684"/>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6Couleur-Accentuation1">
    <w:name w:val="List Table 6 Colorful Accent 1"/>
    <w:basedOn w:val="TableauNormal"/>
    <w:uiPriority w:val="51"/>
    <w:rsid w:val="00924684"/>
    <w:pPr>
      <w:spacing w:after="0" w:line="240" w:lineRule="auto"/>
    </w:pPr>
    <w:rPr>
      <w:color w:val="C02018" w:themeColor="accent1" w:themeShade="BF"/>
    </w:rPr>
    <w:tblPr>
      <w:tblStyleRowBandSize w:val="1"/>
      <w:tblStyleColBandSize w:val="1"/>
      <w:tblBorders>
        <w:top w:val="single" w:sz="4" w:space="0" w:color="E6443C" w:themeColor="accent1"/>
        <w:bottom w:val="single" w:sz="4" w:space="0" w:color="E6443C" w:themeColor="accent1"/>
      </w:tblBorders>
    </w:tblPr>
    <w:tblStylePr w:type="firstRow">
      <w:rPr>
        <w:b/>
        <w:bCs/>
      </w:rPr>
      <w:tblPr/>
      <w:tcPr>
        <w:tcBorders>
          <w:bottom w:val="single" w:sz="4" w:space="0" w:color="E6443C" w:themeColor="accent1"/>
        </w:tcBorders>
      </w:tcPr>
    </w:tblStylePr>
    <w:tblStylePr w:type="lastRow">
      <w:rPr>
        <w:b/>
        <w:bCs/>
      </w:rPr>
      <w:tblPr/>
      <w:tcPr>
        <w:tcBorders>
          <w:top w:val="double" w:sz="4" w:space="0" w:color="E6443C" w:themeColor="accent1"/>
        </w:tcBorders>
      </w:tcPr>
    </w:tblStylePr>
    <w:tblStylePr w:type="firstCol">
      <w:rPr>
        <w:b/>
        <w:bCs/>
      </w:rPr>
    </w:tblStylePr>
    <w:tblStylePr w:type="lastCol">
      <w:rPr>
        <w:b/>
        <w:bCs/>
      </w:rPr>
    </w:tblStylePr>
    <w:tblStylePr w:type="band1Vert">
      <w:tblPr/>
      <w:tcPr>
        <w:shd w:val="clear" w:color="auto" w:fill="FAD9D8" w:themeFill="accent1" w:themeFillTint="33"/>
      </w:tcPr>
    </w:tblStylePr>
    <w:tblStylePr w:type="band1Horz">
      <w:tblPr/>
      <w:tcPr>
        <w:shd w:val="clear" w:color="auto" w:fill="FAD9D8" w:themeFill="accent1" w:themeFillTint="33"/>
      </w:tcPr>
    </w:tblStylePr>
  </w:style>
  <w:style w:type="table" w:styleId="TableauListe6Couleur-Accentuation2">
    <w:name w:val="List Table 6 Colorful Accent 2"/>
    <w:basedOn w:val="TableauNormal"/>
    <w:uiPriority w:val="51"/>
    <w:rsid w:val="00924684"/>
    <w:pPr>
      <w:spacing w:after="0" w:line="240" w:lineRule="auto"/>
    </w:pPr>
    <w:rPr>
      <w:color w:val="7C4272" w:themeColor="accent2" w:themeShade="BF"/>
    </w:rPr>
    <w:tblPr>
      <w:tblStyleRowBandSize w:val="1"/>
      <w:tblStyleColBandSize w:val="1"/>
      <w:tblBorders>
        <w:top w:val="single" w:sz="4" w:space="0" w:color="A6589A" w:themeColor="accent2"/>
        <w:bottom w:val="single" w:sz="4" w:space="0" w:color="A6589A" w:themeColor="accent2"/>
      </w:tblBorders>
    </w:tblPr>
    <w:tblStylePr w:type="firstRow">
      <w:rPr>
        <w:b/>
        <w:bCs/>
      </w:rPr>
      <w:tblPr/>
      <w:tcPr>
        <w:tcBorders>
          <w:bottom w:val="single" w:sz="4" w:space="0" w:color="A6589A" w:themeColor="accent2"/>
        </w:tcBorders>
      </w:tcPr>
    </w:tblStylePr>
    <w:tblStylePr w:type="lastRow">
      <w:rPr>
        <w:b/>
        <w:bCs/>
      </w:rPr>
      <w:tblPr/>
      <w:tcPr>
        <w:tcBorders>
          <w:top w:val="double" w:sz="4" w:space="0" w:color="A6589A" w:themeColor="accent2"/>
        </w:tcBorders>
      </w:tcPr>
    </w:tblStylePr>
    <w:tblStylePr w:type="firstCol">
      <w:rPr>
        <w:b/>
        <w:bCs/>
      </w:rPr>
    </w:tblStylePr>
    <w:tblStylePr w:type="lastCol">
      <w:rPr>
        <w:b/>
        <w:bCs/>
      </w:rPr>
    </w:tblStylePr>
    <w:tblStylePr w:type="band1Vert">
      <w:tblPr/>
      <w:tcPr>
        <w:shd w:val="clear" w:color="auto" w:fill="EDDDEA" w:themeFill="accent2" w:themeFillTint="33"/>
      </w:tcPr>
    </w:tblStylePr>
    <w:tblStylePr w:type="band1Horz">
      <w:tblPr/>
      <w:tcPr>
        <w:shd w:val="clear" w:color="auto" w:fill="EDDDEA" w:themeFill="accent2" w:themeFillTint="33"/>
      </w:tcPr>
    </w:tblStylePr>
  </w:style>
  <w:style w:type="table" w:styleId="TableauListe6Couleur-Accentuation3">
    <w:name w:val="List Table 6 Colorful Accent 3"/>
    <w:basedOn w:val="TableauNormal"/>
    <w:uiPriority w:val="51"/>
    <w:rsid w:val="00924684"/>
    <w:pPr>
      <w:spacing w:after="0" w:line="240" w:lineRule="auto"/>
    </w:pPr>
    <w:rPr>
      <w:color w:val="2D72A4" w:themeColor="accent3" w:themeShade="BF"/>
    </w:rPr>
    <w:tblPr>
      <w:tblStyleRowBandSize w:val="1"/>
      <w:tblStyleColBandSize w:val="1"/>
      <w:tblBorders>
        <w:top w:val="single" w:sz="4" w:space="0" w:color="4B97CD" w:themeColor="accent3"/>
        <w:bottom w:val="single" w:sz="4" w:space="0" w:color="4B97CD" w:themeColor="accent3"/>
      </w:tblBorders>
    </w:tblPr>
    <w:tblStylePr w:type="firstRow">
      <w:rPr>
        <w:b/>
        <w:bCs/>
      </w:rPr>
      <w:tblPr/>
      <w:tcPr>
        <w:tcBorders>
          <w:bottom w:val="single" w:sz="4" w:space="0" w:color="4B97CD" w:themeColor="accent3"/>
        </w:tcBorders>
      </w:tcPr>
    </w:tblStylePr>
    <w:tblStylePr w:type="lastRow">
      <w:rPr>
        <w:b/>
        <w:bCs/>
      </w:rPr>
      <w:tblPr/>
      <w:tcPr>
        <w:tcBorders>
          <w:top w:val="double" w:sz="4" w:space="0" w:color="4B97CD" w:themeColor="accent3"/>
        </w:tcBorders>
      </w:tcPr>
    </w:tblStylePr>
    <w:tblStylePr w:type="firstCol">
      <w:rPr>
        <w:b/>
        <w:bCs/>
      </w:rPr>
    </w:tblStylePr>
    <w:tblStylePr w:type="lastCol">
      <w:rPr>
        <w:b/>
        <w:bCs/>
      </w:rPr>
    </w:tblStylePr>
    <w:tblStylePr w:type="band1Vert">
      <w:tblPr/>
      <w:tcPr>
        <w:shd w:val="clear" w:color="auto" w:fill="DBEAF5" w:themeFill="accent3" w:themeFillTint="33"/>
      </w:tcPr>
    </w:tblStylePr>
    <w:tblStylePr w:type="band1Horz">
      <w:tblPr/>
      <w:tcPr>
        <w:shd w:val="clear" w:color="auto" w:fill="DBEAF5" w:themeFill="accent3" w:themeFillTint="33"/>
      </w:tcPr>
    </w:tblStylePr>
  </w:style>
  <w:style w:type="table" w:styleId="TableauListe6Couleur-Accentuation4">
    <w:name w:val="List Table 6 Colorful Accent 4"/>
    <w:basedOn w:val="TableauNormal"/>
    <w:uiPriority w:val="51"/>
    <w:rsid w:val="00924684"/>
    <w:pPr>
      <w:spacing w:after="0" w:line="240" w:lineRule="auto"/>
    </w:pPr>
    <w:rPr>
      <w:color w:val="235E63" w:themeColor="accent4" w:themeShade="BF"/>
    </w:rPr>
    <w:tblPr>
      <w:tblStyleRowBandSize w:val="1"/>
      <w:tblStyleColBandSize w:val="1"/>
      <w:tblBorders>
        <w:top w:val="single" w:sz="4" w:space="0" w:color="2F7F85" w:themeColor="accent4"/>
        <w:bottom w:val="single" w:sz="4" w:space="0" w:color="2F7F85" w:themeColor="accent4"/>
      </w:tblBorders>
    </w:tblPr>
    <w:tblStylePr w:type="firstRow">
      <w:rPr>
        <w:b/>
        <w:bCs/>
      </w:rPr>
      <w:tblPr/>
      <w:tcPr>
        <w:tcBorders>
          <w:bottom w:val="single" w:sz="4" w:space="0" w:color="2F7F85" w:themeColor="accent4"/>
        </w:tcBorders>
      </w:tcPr>
    </w:tblStylePr>
    <w:tblStylePr w:type="lastRow">
      <w:rPr>
        <w:b/>
        <w:bCs/>
      </w:rPr>
      <w:tblPr/>
      <w:tcPr>
        <w:tcBorders>
          <w:top w:val="double" w:sz="4" w:space="0" w:color="2F7F85" w:themeColor="accent4"/>
        </w:tcBorders>
      </w:tcPr>
    </w:tblStylePr>
    <w:tblStylePr w:type="firstCol">
      <w:rPr>
        <w:b/>
        <w:bCs/>
      </w:rPr>
    </w:tblStylePr>
    <w:tblStylePr w:type="lastCol">
      <w:rPr>
        <w:b/>
        <w:bCs/>
      </w:rPr>
    </w:tblStylePr>
    <w:tblStylePr w:type="band1Vert">
      <w:tblPr/>
      <w:tcPr>
        <w:shd w:val="clear" w:color="auto" w:fill="CEEBED" w:themeFill="accent4" w:themeFillTint="33"/>
      </w:tcPr>
    </w:tblStylePr>
    <w:tblStylePr w:type="band1Horz">
      <w:tblPr/>
      <w:tcPr>
        <w:shd w:val="clear" w:color="auto" w:fill="CEEBED" w:themeFill="accent4" w:themeFillTint="33"/>
      </w:tcPr>
    </w:tblStylePr>
  </w:style>
  <w:style w:type="table" w:styleId="TableauListe6Couleur-Accentuation5">
    <w:name w:val="List Table 6 Colorful Accent 5"/>
    <w:basedOn w:val="TableauNormal"/>
    <w:uiPriority w:val="51"/>
    <w:rsid w:val="00924684"/>
    <w:pPr>
      <w:spacing w:after="0" w:line="240" w:lineRule="auto"/>
    </w:pPr>
    <w:rPr>
      <w:color w:val="CE9504" w:themeColor="accent5" w:themeShade="BF"/>
    </w:rPr>
    <w:tblPr>
      <w:tblStyleRowBandSize w:val="1"/>
      <w:tblStyleColBandSize w:val="1"/>
      <w:tblBorders>
        <w:top w:val="single" w:sz="4" w:space="0" w:color="FABC21" w:themeColor="accent5"/>
        <w:bottom w:val="single" w:sz="4" w:space="0" w:color="FABC21" w:themeColor="accent5"/>
      </w:tblBorders>
    </w:tblPr>
    <w:tblStylePr w:type="firstRow">
      <w:rPr>
        <w:b/>
        <w:bCs/>
      </w:rPr>
      <w:tblPr/>
      <w:tcPr>
        <w:tcBorders>
          <w:bottom w:val="single" w:sz="4" w:space="0" w:color="FABC21" w:themeColor="accent5"/>
        </w:tcBorders>
      </w:tcPr>
    </w:tblStylePr>
    <w:tblStylePr w:type="lastRow">
      <w:rPr>
        <w:b/>
        <w:bCs/>
      </w:rPr>
      <w:tblPr/>
      <w:tcPr>
        <w:tcBorders>
          <w:top w:val="double" w:sz="4" w:space="0" w:color="FABC21" w:themeColor="accent5"/>
        </w:tcBorders>
      </w:tcPr>
    </w:tblStylePr>
    <w:tblStylePr w:type="firstCol">
      <w:rPr>
        <w:b/>
        <w:bCs/>
      </w:rPr>
    </w:tblStylePr>
    <w:tblStylePr w:type="lastCol">
      <w:rPr>
        <w:b/>
        <w:bCs/>
      </w:rPr>
    </w:tblStylePr>
    <w:tblStylePr w:type="band1Vert">
      <w:tblPr/>
      <w:tcPr>
        <w:shd w:val="clear" w:color="auto" w:fill="FEF1D2" w:themeFill="accent5" w:themeFillTint="33"/>
      </w:tcPr>
    </w:tblStylePr>
    <w:tblStylePr w:type="band1Horz">
      <w:tblPr/>
      <w:tcPr>
        <w:shd w:val="clear" w:color="auto" w:fill="FEF1D2" w:themeFill="accent5" w:themeFillTint="33"/>
      </w:tcPr>
    </w:tblStylePr>
  </w:style>
  <w:style w:type="table" w:styleId="TableauListe6Couleur-Accentuation6">
    <w:name w:val="List Table 6 Colorful Accent 6"/>
    <w:basedOn w:val="TableauNormal"/>
    <w:uiPriority w:val="51"/>
    <w:rsid w:val="00924684"/>
    <w:pPr>
      <w:spacing w:after="0" w:line="240" w:lineRule="auto"/>
    </w:pPr>
    <w:rPr>
      <w:color w:val="AD2469" w:themeColor="accent6" w:themeShade="BF"/>
    </w:rPr>
    <w:tblPr>
      <w:tblStyleRowBandSize w:val="1"/>
      <w:tblStyleColBandSize w:val="1"/>
      <w:tblBorders>
        <w:top w:val="single" w:sz="4" w:space="0" w:color="D7418D" w:themeColor="accent6"/>
        <w:bottom w:val="single" w:sz="4" w:space="0" w:color="D7418D" w:themeColor="accent6"/>
      </w:tblBorders>
    </w:tblPr>
    <w:tblStylePr w:type="firstRow">
      <w:rPr>
        <w:b/>
        <w:bCs/>
      </w:rPr>
      <w:tblPr/>
      <w:tcPr>
        <w:tcBorders>
          <w:bottom w:val="single" w:sz="4" w:space="0" w:color="D7418D" w:themeColor="accent6"/>
        </w:tcBorders>
      </w:tcPr>
    </w:tblStylePr>
    <w:tblStylePr w:type="lastRow">
      <w:rPr>
        <w:b/>
        <w:bCs/>
      </w:rPr>
      <w:tblPr/>
      <w:tcPr>
        <w:tcBorders>
          <w:top w:val="double" w:sz="4" w:space="0" w:color="D7418D" w:themeColor="accent6"/>
        </w:tcBorders>
      </w:tcPr>
    </w:tblStylePr>
    <w:tblStylePr w:type="firstCol">
      <w:rPr>
        <w:b/>
        <w:bCs/>
      </w:rPr>
    </w:tblStylePr>
    <w:tblStylePr w:type="lastCol">
      <w:rPr>
        <w:b/>
        <w:bCs/>
      </w:rPr>
    </w:tblStylePr>
    <w:tblStylePr w:type="band1Vert">
      <w:tblPr/>
      <w:tcPr>
        <w:shd w:val="clear" w:color="auto" w:fill="F7D9E8" w:themeFill="accent6" w:themeFillTint="33"/>
      </w:tcPr>
    </w:tblStylePr>
    <w:tblStylePr w:type="band1Horz">
      <w:tblPr/>
      <w:tcPr>
        <w:shd w:val="clear" w:color="auto" w:fill="F7D9E8" w:themeFill="accent6" w:themeFillTint="33"/>
      </w:tcPr>
    </w:tblStylePr>
  </w:style>
  <w:style w:type="table" w:styleId="TableauListe7Couleur">
    <w:name w:val="List Table 7 Colorful"/>
    <w:basedOn w:val="TableauNormal"/>
    <w:uiPriority w:val="52"/>
    <w:rsid w:val="00924684"/>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7Couleur-Accentuation1">
    <w:name w:val="List Table 7 Colorful Accent 1"/>
    <w:basedOn w:val="TableauNormal"/>
    <w:uiPriority w:val="52"/>
    <w:rsid w:val="00924684"/>
    <w:pPr>
      <w:spacing w:after="0" w:line="240" w:lineRule="auto"/>
    </w:pPr>
    <w:rPr>
      <w:color w:val="C02018"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6443C"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6443C"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6443C"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6443C" w:themeColor="accent1"/>
        </w:tcBorders>
        <w:shd w:val="clear" w:color="auto" w:fill="FFFFFF" w:themeFill="background1"/>
      </w:tcPr>
    </w:tblStylePr>
    <w:tblStylePr w:type="band1Vert">
      <w:tblPr/>
      <w:tcPr>
        <w:shd w:val="clear" w:color="auto" w:fill="FAD9D8" w:themeFill="accent1" w:themeFillTint="33"/>
      </w:tcPr>
    </w:tblStylePr>
    <w:tblStylePr w:type="band1Horz">
      <w:tblPr/>
      <w:tcPr>
        <w:shd w:val="clear" w:color="auto" w:fill="FAD9D8"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7Couleur-Accentuation2">
    <w:name w:val="List Table 7 Colorful Accent 2"/>
    <w:basedOn w:val="TableauNormal"/>
    <w:uiPriority w:val="52"/>
    <w:rsid w:val="00924684"/>
    <w:pPr>
      <w:spacing w:after="0" w:line="240" w:lineRule="auto"/>
    </w:pPr>
    <w:rPr>
      <w:color w:val="7C4272"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6589A"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6589A"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6589A"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6589A" w:themeColor="accent2"/>
        </w:tcBorders>
        <w:shd w:val="clear" w:color="auto" w:fill="FFFFFF" w:themeFill="background1"/>
      </w:tcPr>
    </w:tblStylePr>
    <w:tblStylePr w:type="band1Vert">
      <w:tblPr/>
      <w:tcPr>
        <w:shd w:val="clear" w:color="auto" w:fill="EDDDEA" w:themeFill="accent2" w:themeFillTint="33"/>
      </w:tcPr>
    </w:tblStylePr>
    <w:tblStylePr w:type="band1Horz">
      <w:tblPr/>
      <w:tcPr>
        <w:shd w:val="clear" w:color="auto" w:fill="EDDDEA"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7Couleur-Accentuation3">
    <w:name w:val="List Table 7 Colorful Accent 3"/>
    <w:basedOn w:val="TableauNormal"/>
    <w:uiPriority w:val="52"/>
    <w:rsid w:val="00924684"/>
    <w:pPr>
      <w:spacing w:after="0" w:line="240" w:lineRule="auto"/>
    </w:pPr>
    <w:rPr>
      <w:color w:val="2D72A4"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97C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97C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97C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97CD" w:themeColor="accent3"/>
        </w:tcBorders>
        <w:shd w:val="clear" w:color="auto" w:fill="FFFFFF" w:themeFill="background1"/>
      </w:tcPr>
    </w:tblStylePr>
    <w:tblStylePr w:type="band1Vert">
      <w:tblPr/>
      <w:tcPr>
        <w:shd w:val="clear" w:color="auto" w:fill="DBEAF5" w:themeFill="accent3" w:themeFillTint="33"/>
      </w:tcPr>
    </w:tblStylePr>
    <w:tblStylePr w:type="band1Horz">
      <w:tblPr/>
      <w:tcPr>
        <w:shd w:val="clear" w:color="auto" w:fill="DBEAF5"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7Couleur-Accentuation4">
    <w:name w:val="List Table 7 Colorful Accent 4"/>
    <w:basedOn w:val="TableauNormal"/>
    <w:uiPriority w:val="52"/>
    <w:rsid w:val="00924684"/>
    <w:pPr>
      <w:spacing w:after="0" w:line="240" w:lineRule="auto"/>
    </w:pPr>
    <w:rPr>
      <w:color w:val="235E63"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F7F8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F7F8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F7F8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F7F85" w:themeColor="accent4"/>
        </w:tcBorders>
        <w:shd w:val="clear" w:color="auto" w:fill="FFFFFF" w:themeFill="background1"/>
      </w:tcPr>
    </w:tblStylePr>
    <w:tblStylePr w:type="band1Vert">
      <w:tblPr/>
      <w:tcPr>
        <w:shd w:val="clear" w:color="auto" w:fill="CEEBED" w:themeFill="accent4" w:themeFillTint="33"/>
      </w:tcPr>
    </w:tblStylePr>
    <w:tblStylePr w:type="band1Horz">
      <w:tblPr/>
      <w:tcPr>
        <w:shd w:val="clear" w:color="auto" w:fill="CEEBED"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7Couleur-Accentuation5">
    <w:name w:val="List Table 7 Colorful Accent 5"/>
    <w:basedOn w:val="TableauNormal"/>
    <w:uiPriority w:val="52"/>
    <w:rsid w:val="00924684"/>
    <w:pPr>
      <w:spacing w:after="0" w:line="240" w:lineRule="auto"/>
    </w:pPr>
    <w:rPr>
      <w:color w:val="CE950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ABC2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ABC2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ABC2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ABC21" w:themeColor="accent5"/>
        </w:tcBorders>
        <w:shd w:val="clear" w:color="auto" w:fill="FFFFFF" w:themeFill="background1"/>
      </w:tcPr>
    </w:tblStylePr>
    <w:tblStylePr w:type="band1Vert">
      <w:tblPr/>
      <w:tcPr>
        <w:shd w:val="clear" w:color="auto" w:fill="FEF1D2" w:themeFill="accent5" w:themeFillTint="33"/>
      </w:tcPr>
    </w:tblStylePr>
    <w:tblStylePr w:type="band1Horz">
      <w:tblPr/>
      <w:tcPr>
        <w:shd w:val="clear" w:color="auto" w:fill="FEF1D2"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7Couleur-Accentuation6">
    <w:name w:val="List Table 7 Colorful Accent 6"/>
    <w:basedOn w:val="TableauNormal"/>
    <w:uiPriority w:val="52"/>
    <w:rsid w:val="00924684"/>
    <w:pPr>
      <w:spacing w:after="0" w:line="240" w:lineRule="auto"/>
    </w:pPr>
    <w:rPr>
      <w:color w:val="AD2469"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D7418D"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D7418D"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D7418D"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D7418D" w:themeColor="accent6"/>
        </w:tcBorders>
        <w:shd w:val="clear" w:color="auto" w:fill="FFFFFF" w:themeFill="background1"/>
      </w:tcPr>
    </w:tblStylePr>
    <w:tblStylePr w:type="band1Vert">
      <w:tblPr/>
      <w:tcPr>
        <w:shd w:val="clear" w:color="auto" w:fill="F7D9E8" w:themeFill="accent6" w:themeFillTint="33"/>
      </w:tcPr>
    </w:tblStylePr>
    <w:tblStylePr w:type="band1Horz">
      <w:tblPr/>
      <w:tcPr>
        <w:shd w:val="clear" w:color="auto" w:fill="F7D9E8"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edemacro">
    <w:name w:val="macro"/>
    <w:link w:val="TextedemacroCar"/>
    <w:uiPriority w:val="49"/>
    <w:semiHidden/>
    <w:rsid w:val="00924684"/>
    <w:pPr>
      <w:tabs>
        <w:tab w:val="left" w:pos="480"/>
        <w:tab w:val="left" w:pos="960"/>
        <w:tab w:val="left" w:pos="1440"/>
        <w:tab w:val="left" w:pos="1920"/>
        <w:tab w:val="left" w:pos="2400"/>
        <w:tab w:val="left" w:pos="2880"/>
        <w:tab w:val="left" w:pos="3360"/>
        <w:tab w:val="left" w:pos="3840"/>
        <w:tab w:val="left" w:pos="4320"/>
      </w:tabs>
      <w:spacing w:before="120" w:after="0" w:line="240" w:lineRule="auto"/>
      <w:ind w:firstLine="709"/>
      <w:jc w:val="both"/>
    </w:pPr>
    <w:rPr>
      <w:rFonts w:cs="Times New Roman"/>
      <w:sz w:val="20"/>
      <w:szCs w:val="20"/>
    </w:rPr>
  </w:style>
  <w:style w:type="character" w:customStyle="1" w:styleId="TextedemacroCar">
    <w:name w:val="Texte de macro Car"/>
    <w:basedOn w:val="Policepardfaut"/>
    <w:link w:val="Textedemacro"/>
    <w:uiPriority w:val="49"/>
    <w:semiHidden/>
    <w:rsid w:val="00330600"/>
    <w:rPr>
      <w:rFonts w:cs="Times New Roman"/>
      <w:sz w:val="20"/>
      <w:szCs w:val="20"/>
    </w:rPr>
  </w:style>
  <w:style w:type="table" w:styleId="Grillemoyenne1">
    <w:name w:val="Medium Grid 1"/>
    <w:basedOn w:val="TableauNormal"/>
    <w:uiPriority w:val="67"/>
    <w:semiHidden/>
    <w:unhideWhenUsed/>
    <w:rsid w:val="0092468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Grillemoyenne1-Accent1">
    <w:name w:val="Medium Grid 1 Accent 1"/>
    <w:basedOn w:val="TableauNormal"/>
    <w:uiPriority w:val="67"/>
    <w:semiHidden/>
    <w:unhideWhenUsed/>
    <w:rsid w:val="00924684"/>
    <w:pPr>
      <w:spacing w:after="0" w:line="240" w:lineRule="auto"/>
    </w:pPr>
    <w:tblPr>
      <w:tblStyleRowBandSize w:val="1"/>
      <w:tblStyleColBandSize w:val="1"/>
      <w:tblBorders>
        <w:top w:val="single" w:sz="8" w:space="0" w:color="EC726C" w:themeColor="accent1" w:themeTint="BF"/>
        <w:left w:val="single" w:sz="8" w:space="0" w:color="EC726C" w:themeColor="accent1" w:themeTint="BF"/>
        <w:bottom w:val="single" w:sz="8" w:space="0" w:color="EC726C" w:themeColor="accent1" w:themeTint="BF"/>
        <w:right w:val="single" w:sz="8" w:space="0" w:color="EC726C" w:themeColor="accent1" w:themeTint="BF"/>
        <w:insideH w:val="single" w:sz="8" w:space="0" w:color="EC726C" w:themeColor="accent1" w:themeTint="BF"/>
        <w:insideV w:val="single" w:sz="8" w:space="0" w:color="EC726C" w:themeColor="accent1" w:themeTint="BF"/>
      </w:tblBorders>
    </w:tblPr>
    <w:tcPr>
      <w:shd w:val="clear" w:color="auto" w:fill="F8D0CE" w:themeFill="accent1" w:themeFillTint="3F"/>
    </w:tcPr>
    <w:tblStylePr w:type="firstRow">
      <w:rPr>
        <w:b/>
        <w:bCs/>
      </w:rPr>
    </w:tblStylePr>
    <w:tblStylePr w:type="lastRow">
      <w:rPr>
        <w:b/>
        <w:bCs/>
      </w:rPr>
      <w:tblPr/>
      <w:tcPr>
        <w:tcBorders>
          <w:top w:val="single" w:sz="18" w:space="0" w:color="EC726C" w:themeColor="accent1" w:themeTint="BF"/>
        </w:tcBorders>
      </w:tcPr>
    </w:tblStylePr>
    <w:tblStylePr w:type="firstCol">
      <w:rPr>
        <w:b/>
        <w:bCs/>
      </w:rPr>
    </w:tblStylePr>
    <w:tblStylePr w:type="lastCol">
      <w:rPr>
        <w:b/>
        <w:bCs/>
      </w:rPr>
    </w:tblStylePr>
    <w:tblStylePr w:type="band1Vert">
      <w:tblPr/>
      <w:tcPr>
        <w:shd w:val="clear" w:color="auto" w:fill="F2A19D" w:themeFill="accent1" w:themeFillTint="7F"/>
      </w:tcPr>
    </w:tblStylePr>
    <w:tblStylePr w:type="band1Horz">
      <w:tblPr/>
      <w:tcPr>
        <w:shd w:val="clear" w:color="auto" w:fill="F2A19D" w:themeFill="accent1" w:themeFillTint="7F"/>
      </w:tcPr>
    </w:tblStylePr>
  </w:style>
  <w:style w:type="table" w:styleId="Grillemoyenne1-Accent2">
    <w:name w:val="Medium Grid 1 Accent 2"/>
    <w:basedOn w:val="TableauNormal"/>
    <w:uiPriority w:val="67"/>
    <w:semiHidden/>
    <w:unhideWhenUsed/>
    <w:rsid w:val="00924684"/>
    <w:pPr>
      <w:spacing w:after="0" w:line="240" w:lineRule="auto"/>
    </w:pPr>
    <w:tblPr>
      <w:tblStyleRowBandSize w:val="1"/>
      <w:tblStyleColBandSize w:val="1"/>
      <w:tblBorders>
        <w:top w:val="single" w:sz="8" w:space="0" w:color="BC81B3" w:themeColor="accent2" w:themeTint="BF"/>
        <w:left w:val="single" w:sz="8" w:space="0" w:color="BC81B3" w:themeColor="accent2" w:themeTint="BF"/>
        <w:bottom w:val="single" w:sz="8" w:space="0" w:color="BC81B3" w:themeColor="accent2" w:themeTint="BF"/>
        <w:right w:val="single" w:sz="8" w:space="0" w:color="BC81B3" w:themeColor="accent2" w:themeTint="BF"/>
        <w:insideH w:val="single" w:sz="8" w:space="0" w:color="BC81B3" w:themeColor="accent2" w:themeTint="BF"/>
        <w:insideV w:val="single" w:sz="8" w:space="0" w:color="BC81B3" w:themeColor="accent2" w:themeTint="BF"/>
      </w:tblBorders>
    </w:tblPr>
    <w:tcPr>
      <w:shd w:val="clear" w:color="auto" w:fill="E9D5E6" w:themeFill="accent2" w:themeFillTint="3F"/>
    </w:tcPr>
    <w:tblStylePr w:type="firstRow">
      <w:rPr>
        <w:b/>
        <w:bCs/>
      </w:rPr>
    </w:tblStylePr>
    <w:tblStylePr w:type="lastRow">
      <w:rPr>
        <w:b/>
        <w:bCs/>
      </w:rPr>
      <w:tblPr/>
      <w:tcPr>
        <w:tcBorders>
          <w:top w:val="single" w:sz="18" w:space="0" w:color="BC81B3" w:themeColor="accent2" w:themeTint="BF"/>
        </w:tcBorders>
      </w:tcPr>
    </w:tblStylePr>
    <w:tblStylePr w:type="firstCol">
      <w:rPr>
        <w:b/>
        <w:bCs/>
      </w:rPr>
    </w:tblStylePr>
    <w:tblStylePr w:type="lastCol">
      <w:rPr>
        <w:b/>
        <w:bCs/>
      </w:rPr>
    </w:tblStylePr>
    <w:tblStylePr w:type="band1Vert">
      <w:tblPr/>
      <w:tcPr>
        <w:shd w:val="clear" w:color="auto" w:fill="D2ABCC" w:themeFill="accent2" w:themeFillTint="7F"/>
      </w:tcPr>
    </w:tblStylePr>
    <w:tblStylePr w:type="band1Horz">
      <w:tblPr/>
      <w:tcPr>
        <w:shd w:val="clear" w:color="auto" w:fill="D2ABCC" w:themeFill="accent2" w:themeFillTint="7F"/>
      </w:tcPr>
    </w:tblStylePr>
  </w:style>
  <w:style w:type="table" w:styleId="Grillemoyenne1-Accent3">
    <w:name w:val="Medium Grid 1 Accent 3"/>
    <w:basedOn w:val="TableauNormal"/>
    <w:uiPriority w:val="67"/>
    <w:semiHidden/>
    <w:unhideWhenUsed/>
    <w:rsid w:val="00924684"/>
    <w:pPr>
      <w:spacing w:after="0" w:line="240" w:lineRule="auto"/>
    </w:pPr>
    <w:tblPr>
      <w:tblStyleRowBandSize w:val="1"/>
      <w:tblStyleColBandSize w:val="1"/>
      <w:tblBorders>
        <w:top w:val="single" w:sz="8" w:space="0" w:color="78B1D9" w:themeColor="accent3" w:themeTint="BF"/>
        <w:left w:val="single" w:sz="8" w:space="0" w:color="78B1D9" w:themeColor="accent3" w:themeTint="BF"/>
        <w:bottom w:val="single" w:sz="8" w:space="0" w:color="78B1D9" w:themeColor="accent3" w:themeTint="BF"/>
        <w:right w:val="single" w:sz="8" w:space="0" w:color="78B1D9" w:themeColor="accent3" w:themeTint="BF"/>
        <w:insideH w:val="single" w:sz="8" w:space="0" w:color="78B1D9" w:themeColor="accent3" w:themeTint="BF"/>
        <w:insideV w:val="single" w:sz="8" w:space="0" w:color="78B1D9" w:themeColor="accent3" w:themeTint="BF"/>
      </w:tblBorders>
    </w:tblPr>
    <w:tcPr>
      <w:shd w:val="clear" w:color="auto" w:fill="D2E5F2" w:themeFill="accent3" w:themeFillTint="3F"/>
    </w:tcPr>
    <w:tblStylePr w:type="firstRow">
      <w:rPr>
        <w:b/>
        <w:bCs/>
      </w:rPr>
    </w:tblStylePr>
    <w:tblStylePr w:type="lastRow">
      <w:rPr>
        <w:b/>
        <w:bCs/>
      </w:rPr>
      <w:tblPr/>
      <w:tcPr>
        <w:tcBorders>
          <w:top w:val="single" w:sz="18" w:space="0" w:color="78B1D9" w:themeColor="accent3" w:themeTint="BF"/>
        </w:tcBorders>
      </w:tcPr>
    </w:tblStylePr>
    <w:tblStylePr w:type="firstCol">
      <w:rPr>
        <w:b/>
        <w:bCs/>
      </w:rPr>
    </w:tblStylePr>
    <w:tblStylePr w:type="lastCol">
      <w:rPr>
        <w:b/>
        <w:bCs/>
      </w:rPr>
    </w:tblStylePr>
    <w:tblStylePr w:type="band1Vert">
      <w:tblPr/>
      <w:tcPr>
        <w:shd w:val="clear" w:color="auto" w:fill="A5CBE6" w:themeFill="accent3" w:themeFillTint="7F"/>
      </w:tcPr>
    </w:tblStylePr>
    <w:tblStylePr w:type="band1Horz">
      <w:tblPr/>
      <w:tcPr>
        <w:shd w:val="clear" w:color="auto" w:fill="A5CBE6" w:themeFill="accent3" w:themeFillTint="7F"/>
      </w:tcPr>
    </w:tblStylePr>
  </w:style>
  <w:style w:type="table" w:styleId="Grillemoyenne1-Accent4">
    <w:name w:val="Medium Grid 1 Accent 4"/>
    <w:basedOn w:val="TableauNormal"/>
    <w:uiPriority w:val="67"/>
    <w:semiHidden/>
    <w:unhideWhenUsed/>
    <w:rsid w:val="00924684"/>
    <w:pPr>
      <w:spacing w:after="0" w:line="240" w:lineRule="auto"/>
    </w:pPr>
    <w:tblPr>
      <w:tblStyleRowBandSize w:val="1"/>
      <w:tblStyleColBandSize w:val="1"/>
      <w:tblBorders>
        <w:top w:val="single" w:sz="8" w:space="0" w:color="48B6BE" w:themeColor="accent4" w:themeTint="BF"/>
        <w:left w:val="single" w:sz="8" w:space="0" w:color="48B6BE" w:themeColor="accent4" w:themeTint="BF"/>
        <w:bottom w:val="single" w:sz="8" w:space="0" w:color="48B6BE" w:themeColor="accent4" w:themeTint="BF"/>
        <w:right w:val="single" w:sz="8" w:space="0" w:color="48B6BE" w:themeColor="accent4" w:themeTint="BF"/>
        <w:insideH w:val="single" w:sz="8" w:space="0" w:color="48B6BE" w:themeColor="accent4" w:themeTint="BF"/>
        <w:insideV w:val="single" w:sz="8" w:space="0" w:color="48B6BE" w:themeColor="accent4" w:themeTint="BF"/>
      </w:tblBorders>
    </w:tblPr>
    <w:tcPr>
      <w:shd w:val="clear" w:color="auto" w:fill="C2E7E9" w:themeFill="accent4" w:themeFillTint="3F"/>
    </w:tcPr>
    <w:tblStylePr w:type="firstRow">
      <w:rPr>
        <w:b/>
        <w:bCs/>
      </w:rPr>
    </w:tblStylePr>
    <w:tblStylePr w:type="lastRow">
      <w:rPr>
        <w:b/>
        <w:bCs/>
      </w:rPr>
      <w:tblPr/>
      <w:tcPr>
        <w:tcBorders>
          <w:top w:val="single" w:sz="18" w:space="0" w:color="48B6BE" w:themeColor="accent4" w:themeTint="BF"/>
        </w:tcBorders>
      </w:tcPr>
    </w:tblStylePr>
    <w:tblStylePr w:type="firstCol">
      <w:rPr>
        <w:b/>
        <w:bCs/>
      </w:rPr>
    </w:tblStylePr>
    <w:tblStylePr w:type="lastCol">
      <w:rPr>
        <w:b/>
        <w:bCs/>
      </w:rPr>
    </w:tblStylePr>
    <w:tblStylePr w:type="band1Vert">
      <w:tblPr/>
      <w:tcPr>
        <w:shd w:val="clear" w:color="auto" w:fill="85CED4" w:themeFill="accent4" w:themeFillTint="7F"/>
      </w:tcPr>
    </w:tblStylePr>
    <w:tblStylePr w:type="band1Horz">
      <w:tblPr/>
      <w:tcPr>
        <w:shd w:val="clear" w:color="auto" w:fill="85CED4" w:themeFill="accent4" w:themeFillTint="7F"/>
      </w:tcPr>
    </w:tblStylePr>
  </w:style>
  <w:style w:type="table" w:styleId="Grillemoyenne1-Accent5">
    <w:name w:val="Medium Grid 1 Accent 5"/>
    <w:basedOn w:val="TableauNormal"/>
    <w:uiPriority w:val="67"/>
    <w:semiHidden/>
    <w:unhideWhenUsed/>
    <w:rsid w:val="00924684"/>
    <w:pPr>
      <w:spacing w:after="0" w:line="240" w:lineRule="auto"/>
    </w:pPr>
    <w:tblPr>
      <w:tblStyleRowBandSize w:val="1"/>
      <w:tblStyleColBandSize w:val="1"/>
      <w:tblBorders>
        <w:top w:val="single" w:sz="8" w:space="0" w:color="FBCC58" w:themeColor="accent5" w:themeTint="BF"/>
        <w:left w:val="single" w:sz="8" w:space="0" w:color="FBCC58" w:themeColor="accent5" w:themeTint="BF"/>
        <w:bottom w:val="single" w:sz="8" w:space="0" w:color="FBCC58" w:themeColor="accent5" w:themeTint="BF"/>
        <w:right w:val="single" w:sz="8" w:space="0" w:color="FBCC58" w:themeColor="accent5" w:themeTint="BF"/>
        <w:insideH w:val="single" w:sz="8" w:space="0" w:color="FBCC58" w:themeColor="accent5" w:themeTint="BF"/>
        <w:insideV w:val="single" w:sz="8" w:space="0" w:color="FBCC58" w:themeColor="accent5" w:themeTint="BF"/>
      </w:tblBorders>
    </w:tblPr>
    <w:tcPr>
      <w:shd w:val="clear" w:color="auto" w:fill="FDEEC7" w:themeFill="accent5" w:themeFillTint="3F"/>
    </w:tcPr>
    <w:tblStylePr w:type="firstRow">
      <w:rPr>
        <w:b/>
        <w:bCs/>
      </w:rPr>
    </w:tblStylePr>
    <w:tblStylePr w:type="lastRow">
      <w:rPr>
        <w:b/>
        <w:bCs/>
      </w:rPr>
      <w:tblPr/>
      <w:tcPr>
        <w:tcBorders>
          <w:top w:val="single" w:sz="18" w:space="0" w:color="FBCC58" w:themeColor="accent5" w:themeTint="BF"/>
        </w:tcBorders>
      </w:tcPr>
    </w:tblStylePr>
    <w:tblStylePr w:type="firstCol">
      <w:rPr>
        <w:b/>
        <w:bCs/>
      </w:rPr>
    </w:tblStylePr>
    <w:tblStylePr w:type="lastCol">
      <w:rPr>
        <w:b/>
        <w:bCs/>
      </w:rPr>
    </w:tblStylePr>
    <w:tblStylePr w:type="band1Vert">
      <w:tblPr/>
      <w:tcPr>
        <w:shd w:val="clear" w:color="auto" w:fill="FCDD90" w:themeFill="accent5" w:themeFillTint="7F"/>
      </w:tcPr>
    </w:tblStylePr>
    <w:tblStylePr w:type="band1Horz">
      <w:tblPr/>
      <w:tcPr>
        <w:shd w:val="clear" w:color="auto" w:fill="FCDD90" w:themeFill="accent5" w:themeFillTint="7F"/>
      </w:tcPr>
    </w:tblStylePr>
  </w:style>
  <w:style w:type="table" w:styleId="Grillemoyenne1-Accent6">
    <w:name w:val="Medium Grid 1 Accent 6"/>
    <w:basedOn w:val="TableauNormal"/>
    <w:uiPriority w:val="67"/>
    <w:semiHidden/>
    <w:unhideWhenUsed/>
    <w:rsid w:val="00924684"/>
    <w:pPr>
      <w:spacing w:after="0" w:line="240" w:lineRule="auto"/>
    </w:pPr>
    <w:tblPr>
      <w:tblStyleRowBandSize w:val="1"/>
      <w:tblStyleColBandSize w:val="1"/>
      <w:tblBorders>
        <w:top w:val="single" w:sz="8" w:space="0" w:color="E170A9" w:themeColor="accent6" w:themeTint="BF"/>
        <w:left w:val="single" w:sz="8" w:space="0" w:color="E170A9" w:themeColor="accent6" w:themeTint="BF"/>
        <w:bottom w:val="single" w:sz="8" w:space="0" w:color="E170A9" w:themeColor="accent6" w:themeTint="BF"/>
        <w:right w:val="single" w:sz="8" w:space="0" w:color="E170A9" w:themeColor="accent6" w:themeTint="BF"/>
        <w:insideH w:val="single" w:sz="8" w:space="0" w:color="E170A9" w:themeColor="accent6" w:themeTint="BF"/>
        <w:insideV w:val="single" w:sz="8" w:space="0" w:color="E170A9" w:themeColor="accent6" w:themeTint="BF"/>
      </w:tblBorders>
    </w:tblPr>
    <w:tcPr>
      <w:shd w:val="clear" w:color="auto" w:fill="F5CFE2" w:themeFill="accent6" w:themeFillTint="3F"/>
    </w:tcPr>
    <w:tblStylePr w:type="firstRow">
      <w:rPr>
        <w:b/>
        <w:bCs/>
      </w:rPr>
    </w:tblStylePr>
    <w:tblStylePr w:type="lastRow">
      <w:rPr>
        <w:b/>
        <w:bCs/>
      </w:rPr>
      <w:tblPr/>
      <w:tcPr>
        <w:tcBorders>
          <w:top w:val="single" w:sz="18" w:space="0" w:color="E170A9" w:themeColor="accent6" w:themeTint="BF"/>
        </w:tcBorders>
      </w:tcPr>
    </w:tblStylePr>
    <w:tblStylePr w:type="firstCol">
      <w:rPr>
        <w:b/>
        <w:bCs/>
      </w:rPr>
    </w:tblStylePr>
    <w:tblStylePr w:type="lastCol">
      <w:rPr>
        <w:b/>
        <w:bCs/>
      </w:rPr>
    </w:tblStylePr>
    <w:tblStylePr w:type="band1Vert">
      <w:tblPr/>
      <w:tcPr>
        <w:shd w:val="clear" w:color="auto" w:fill="EBA0C6" w:themeFill="accent6" w:themeFillTint="7F"/>
      </w:tcPr>
    </w:tblStylePr>
    <w:tblStylePr w:type="band1Horz">
      <w:tblPr/>
      <w:tcPr>
        <w:shd w:val="clear" w:color="auto" w:fill="EBA0C6" w:themeFill="accent6" w:themeFillTint="7F"/>
      </w:tcPr>
    </w:tblStylePr>
  </w:style>
  <w:style w:type="table" w:styleId="Grillemoyenne2">
    <w:name w:val="Medium Grid 2"/>
    <w:basedOn w:val="TableauNormal"/>
    <w:uiPriority w:val="68"/>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Grillemoyenne2-Accent1">
    <w:name w:val="Medium Grid 2 Accent 1"/>
    <w:basedOn w:val="TableauNormal"/>
    <w:uiPriority w:val="68"/>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6443C" w:themeColor="accent1"/>
        <w:left w:val="single" w:sz="8" w:space="0" w:color="E6443C" w:themeColor="accent1"/>
        <w:bottom w:val="single" w:sz="8" w:space="0" w:color="E6443C" w:themeColor="accent1"/>
        <w:right w:val="single" w:sz="8" w:space="0" w:color="E6443C" w:themeColor="accent1"/>
        <w:insideH w:val="single" w:sz="8" w:space="0" w:color="E6443C" w:themeColor="accent1"/>
        <w:insideV w:val="single" w:sz="8" w:space="0" w:color="E6443C" w:themeColor="accent1"/>
      </w:tblBorders>
    </w:tblPr>
    <w:tcPr>
      <w:shd w:val="clear" w:color="auto" w:fill="F8D0CE" w:themeFill="accent1" w:themeFillTint="3F"/>
    </w:tcPr>
    <w:tblStylePr w:type="firstRow">
      <w:rPr>
        <w:b/>
        <w:bCs/>
        <w:color w:val="000000" w:themeColor="text1"/>
      </w:rPr>
      <w:tblPr/>
      <w:tcPr>
        <w:shd w:val="clear" w:color="auto" w:fill="FCECEB"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AD9D8" w:themeFill="accent1" w:themeFillTint="33"/>
      </w:tcPr>
    </w:tblStylePr>
    <w:tblStylePr w:type="band1Vert">
      <w:tblPr/>
      <w:tcPr>
        <w:shd w:val="clear" w:color="auto" w:fill="F2A19D" w:themeFill="accent1" w:themeFillTint="7F"/>
      </w:tcPr>
    </w:tblStylePr>
    <w:tblStylePr w:type="band1Horz">
      <w:tblPr/>
      <w:tcPr>
        <w:tcBorders>
          <w:insideH w:val="single" w:sz="6" w:space="0" w:color="E6443C" w:themeColor="accent1"/>
          <w:insideV w:val="single" w:sz="6" w:space="0" w:color="E6443C" w:themeColor="accent1"/>
        </w:tcBorders>
        <w:shd w:val="clear" w:color="auto" w:fill="F2A19D" w:themeFill="accent1" w:themeFillTint="7F"/>
      </w:tcPr>
    </w:tblStylePr>
    <w:tblStylePr w:type="nwCell">
      <w:tblPr/>
      <w:tcPr>
        <w:shd w:val="clear" w:color="auto" w:fill="FFFFFF" w:themeFill="background1"/>
      </w:tcPr>
    </w:tblStylePr>
  </w:style>
  <w:style w:type="table" w:styleId="Grillemoyenne2-Accent2">
    <w:name w:val="Medium Grid 2 Accent 2"/>
    <w:basedOn w:val="TableauNormal"/>
    <w:uiPriority w:val="68"/>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6589A" w:themeColor="accent2"/>
        <w:left w:val="single" w:sz="8" w:space="0" w:color="A6589A" w:themeColor="accent2"/>
        <w:bottom w:val="single" w:sz="8" w:space="0" w:color="A6589A" w:themeColor="accent2"/>
        <w:right w:val="single" w:sz="8" w:space="0" w:color="A6589A" w:themeColor="accent2"/>
        <w:insideH w:val="single" w:sz="8" w:space="0" w:color="A6589A" w:themeColor="accent2"/>
        <w:insideV w:val="single" w:sz="8" w:space="0" w:color="A6589A" w:themeColor="accent2"/>
      </w:tblBorders>
    </w:tblPr>
    <w:tcPr>
      <w:shd w:val="clear" w:color="auto" w:fill="E9D5E6" w:themeFill="accent2" w:themeFillTint="3F"/>
    </w:tcPr>
    <w:tblStylePr w:type="firstRow">
      <w:rPr>
        <w:b/>
        <w:bCs/>
        <w:color w:val="000000" w:themeColor="text1"/>
      </w:rPr>
      <w:tblPr/>
      <w:tcPr>
        <w:shd w:val="clear" w:color="auto" w:fill="F6EEF5"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DDEA" w:themeFill="accent2" w:themeFillTint="33"/>
      </w:tcPr>
    </w:tblStylePr>
    <w:tblStylePr w:type="band1Vert">
      <w:tblPr/>
      <w:tcPr>
        <w:shd w:val="clear" w:color="auto" w:fill="D2ABCC" w:themeFill="accent2" w:themeFillTint="7F"/>
      </w:tcPr>
    </w:tblStylePr>
    <w:tblStylePr w:type="band1Horz">
      <w:tblPr/>
      <w:tcPr>
        <w:tcBorders>
          <w:insideH w:val="single" w:sz="6" w:space="0" w:color="A6589A" w:themeColor="accent2"/>
          <w:insideV w:val="single" w:sz="6" w:space="0" w:color="A6589A" w:themeColor="accent2"/>
        </w:tcBorders>
        <w:shd w:val="clear" w:color="auto" w:fill="D2ABCC" w:themeFill="accent2" w:themeFillTint="7F"/>
      </w:tcPr>
    </w:tblStylePr>
    <w:tblStylePr w:type="nwCell">
      <w:tblPr/>
      <w:tcPr>
        <w:shd w:val="clear" w:color="auto" w:fill="FFFFFF" w:themeFill="background1"/>
      </w:tcPr>
    </w:tblStylePr>
  </w:style>
  <w:style w:type="table" w:styleId="Grillemoyenne2-Accent3">
    <w:name w:val="Medium Grid 2 Accent 3"/>
    <w:basedOn w:val="TableauNormal"/>
    <w:uiPriority w:val="68"/>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97CD" w:themeColor="accent3"/>
        <w:left w:val="single" w:sz="8" w:space="0" w:color="4B97CD" w:themeColor="accent3"/>
        <w:bottom w:val="single" w:sz="8" w:space="0" w:color="4B97CD" w:themeColor="accent3"/>
        <w:right w:val="single" w:sz="8" w:space="0" w:color="4B97CD" w:themeColor="accent3"/>
        <w:insideH w:val="single" w:sz="8" w:space="0" w:color="4B97CD" w:themeColor="accent3"/>
        <w:insideV w:val="single" w:sz="8" w:space="0" w:color="4B97CD" w:themeColor="accent3"/>
      </w:tblBorders>
    </w:tblPr>
    <w:tcPr>
      <w:shd w:val="clear" w:color="auto" w:fill="D2E5F2" w:themeFill="accent3" w:themeFillTint="3F"/>
    </w:tcPr>
    <w:tblStylePr w:type="firstRow">
      <w:rPr>
        <w:b/>
        <w:bCs/>
        <w:color w:val="000000" w:themeColor="text1"/>
      </w:rPr>
      <w:tblPr/>
      <w:tcPr>
        <w:shd w:val="clear" w:color="auto" w:fill="EDF4FA"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AF5" w:themeFill="accent3" w:themeFillTint="33"/>
      </w:tcPr>
    </w:tblStylePr>
    <w:tblStylePr w:type="band1Vert">
      <w:tblPr/>
      <w:tcPr>
        <w:shd w:val="clear" w:color="auto" w:fill="A5CBE6" w:themeFill="accent3" w:themeFillTint="7F"/>
      </w:tcPr>
    </w:tblStylePr>
    <w:tblStylePr w:type="band1Horz">
      <w:tblPr/>
      <w:tcPr>
        <w:tcBorders>
          <w:insideH w:val="single" w:sz="6" w:space="0" w:color="4B97CD" w:themeColor="accent3"/>
          <w:insideV w:val="single" w:sz="6" w:space="0" w:color="4B97CD" w:themeColor="accent3"/>
        </w:tcBorders>
        <w:shd w:val="clear" w:color="auto" w:fill="A5CBE6" w:themeFill="accent3" w:themeFillTint="7F"/>
      </w:tcPr>
    </w:tblStylePr>
    <w:tblStylePr w:type="nwCell">
      <w:tblPr/>
      <w:tcPr>
        <w:shd w:val="clear" w:color="auto" w:fill="FFFFFF" w:themeFill="background1"/>
      </w:tcPr>
    </w:tblStylePr>
  </w:style>
  <w:style w:type="table" w:styleId="Grillemoyenne2-Accent4">
    <w:name w:val="Medium Grid 2 Accent 4"/>
    <w:basedOn w:val="TableauNormal"/>
    <w:uiPriority w:val="68"/>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F7F85" w:themeColor="accent4"/>
        <w:left w:val="single" w:sz="8" w:space="0" w:color="2F7F85" w:themeColor="accent4"/>
        <w:bottom w:val="single" w:sz="8" w:space="0" w:color="2F7F85" w:themeColor="accent4"/>
        <w:right w:val="single" w:sz="8" w:space="0" w:color="2F7F85" w:themeColor="accent4"/>
        <w:insideH w:val="single" w:sz="8" w:space="0" w:color="2F7F85" w:themeColor="accent4"/>
        <w:insideV w:val="single" w:sz="8" w:space="0" w:color="2F7F85" w:themeColor="accent4"/>
      </w:tblBorders>
    </w:tblPr>
    <w:tcPr>
      <w:shd w:val="clear" w:color="auto" w:fill="C2E7E9" w:themeFill="accent4" w:themeFillTint="3F"/>
    </w:tcPr>
    <w:tblStylePr w:type="firstRow">
      <w:rPr>
        <w:b/>
        <w:bCs/>
        <w:color w:val="000000" w:themeColor="text1"/>
      </w:rPr>
      <w:tblPr/>
      <w:tcPr>
        <w:shd w:val="clear" w:color="auto" w:fill="E6F5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EEBED" w:themeFill="accent4" w:themeFillTint="33"/>
      </w:tcPr>
    </w:tblStylePr>
    <w:tblStylePr w:type="band1Vert">
      <w:tblPr/>
      <w:tcPr>
        <w:shd w:val="clear" w:color="auto" w:fill="85CED4" w:themeFill="accent4" w:themeFillTint="7F"/>
      </w:tcPr>
    </w:tblStylePr>
    <w:tblStylePr w:type="band1Horz">
      <w:tblPr/>
      <w:tcPr>
        <w:tcBorders>
          <w:insideH w:val="single" w:sz="6" w:space="0" w:color="2F7F85" w:themeColor="accent4"/>
          <w:insideV w:val="single" w:sz="6" w:space="0" w:color="2F7F85" w:themeColor="accent4"/>
        </w:tcBorders>
        <w:shd w:val="clear" w:color="auto" w:fill="85CED4" w:themeFill="accent4" w:themeFillTint="7F"/>
      </w:tcPr>
    </w:tblStylePr>
    <w:tblStylePr w:type="nwCell">
      <w:tblPr/>
      <w:tcPr>
        <w:shd w:val="clear" w:color="auto" w:fill="FFFFFF" w:themeFill="background1"/>
      </w:tcPr>
    </w:tblStylePr>
  </w:style>
  <w:style w:type="table" w:styleId="Grillemoyenne2-Accent5">
    <w:name w:val="Medium Grid 2 Accent 5"/>
    <w:basedOn w:val="TableauNormal"/>
    <w:uiPriority w:val="68"/>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ABC21" w:themeColor="accent5"/>
        <w:left w:val="single" w:sz="8" w:space="0" w:color="FABC21" w:themeColor="accent5"/>
        <w:bottom w:val="single" w:sz="8" w:space="0" w:color="FABC21" w:themeColor="accent5"/>
        <w:right w:val="single" w:sz="8" w:space="0" w:color="FABC21" w:themeColor="accent5"/>
        <w:insideH w:val="single" w:sz="8" w:space="0" w:color="FABC21" w:themeColor="accent5"/>
        <w:insideV w:val="single" w:sz="8" w:space="0" w:color="FABC21" w:themeColor="accent5"/>
      </w:tblBorders>
    </w:tblPr>
    <w:tcPr>
      <w:shd w:val="clear" w:color="auto" w:fill="FDEEC7" w:themeFill="accent5" w:themeFillTint="3F"/>
    </w:tcPr>
    <w:tblStylePr w:type="firstRow">
      <w:rPr>
        <w:b/>
        <w:bCs/>
        <w:color w:val="000000" w:themeColor="text1"/>
      </w:rPr>
      <w:tblPr/>
      <w:tcPr>
        <w:shd w:val="clear" w:color="auto" w:fill="FEF8E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EF1D2" w:themeFill="accent5" w:themeFillTint="33"/>
      </w:tcPr>
    </w:tblStylePr>
    <w:tblStylePr w:type="band1Vert">
      <w:tblPr/>
      <w:tcPr>
        <w:shd w:val="clear" w:color="auto" w:fill="FCDD90" w:themeFill="accent5" w:themeFillTint="7F"/>
      </w:tcPr>
    </w:tblStylePr>
    <w:tblStylePr w:type="band1Horz">
      <w:tblPr/>
      <w:tcPr>
        <w:tcBorders>
          <w:insideH w:val="single" w:sz="6" w:space="0" w:color="FABC21" w:themeColor="accent5"/>
          <w:insideV w:val="single" w:sz="6" w:space="0" w:color="FABC21" w:themeColor="accent5"/>
        </w:tcBorders>
        <w:shd w:val="clear" w:color="auto" w:fill="FCDD90" w:themeFill="accent5" w:themeFillTint="7F"/>
      </w:tcPr>
    </w:tblStylePr>
    <w:tblStylePr w:type="nwCell">
      <w:tblPr/>
      <w:tcPr>
        <w:shd w:val="clear" w:color="auto" w:fill="FFFFFF" w:themeFill="background1"/>
      </w:tcPr>
    </w:tblStylePr>
  </w:style>
  <w:style w:type="table" w:styleId="Grillemoyenne2-Accent6">
    <w:name w:val="Medium Grid 2 Accent 6"/>
    <w:basedOn w:val="TableauNormal"/>
    <w:uiPriority w:val="68"/>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7418D" w:themeColor="accent6"/>
        <w:left w:val="single" w:sz="8" w:space="0" w:color="D7418D" w:themeColor="accent6"/>
        <w:bottom w:val="single" w:sz="8" w:space="0" w:color="D7418D" w:themeColor="accent6"/>
        <w:right w:val="single" w:sz="8" w:space="0" w:color="D7418D" w:themeColor="accent6"/>
        <w:insideH w:val="single" w:sz="8" w:space="0" w:color="D7418D" w:themeColor="accent6"/>
        <w:insideV w:val="single" w:sz="8" w:space="0" w:color="D7418D" w:themeColor="accent6"/>
      </w:tblBorders>
    </w:tblPr>
    <w:tcPr>
      <w:shd w:val="clear" w:color="auto" w:fill="F5CFE2" w:themeFill="accent6" w:themeFillTint="3F"/>
    </w:tcPr>
    <w:tblStylePr w:type="firstRow">
      <w:rPr>
        <w:b/>
        <w:bCs/>
        <w:color w:val="000000" w:themeColor="text1"/>
      </w:rPr>
      <w:tblPr/>
      <w:tcPr>
        <w:shd w:val="clear" w:color="auto" w:fill="FBECF3"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7D9E8" w:themeFill="accent6" w:themeFillTint="33"/>
      </w:tcPr>
    </w:tblStylePr>
    <w:tblStylePr w:type="band1Vert">
      <w:tblPr/>
      <w:tcPr>
        <w:shd w:val="clear" w:color="auto" w:fill="EBA0C6" w:themeFill="accent6" w:themeFillTint="7F"/>
      </w:tcPr>
    </w:tblStylePr>
    <w:tblStylePr w:type="band1Horz">
      <w:tblPr/>
      <w:tcPr>
        <w:tcBorders>
          <w:insideH w:val="single" w:sz="6" w:space="0" w:color="D7418D" w:themeColor="accent6"/>
          <w:insideV w:val="single" w:sz="6" w:space="0" w:color="D7418D" w:themeColor="accent6"/>
        </w:tcBorders>
        <w:shd w:val="clear" w:color="auto" w:fill="EBA0C6" w:themeFill="accent6" w:themeFillTint="7F"/>
      </w:tcPr>
    </w:tblStylePr>
    <w:tblStylePr w:type="nwCell">
      <w:tblPr/>
      <w:tcPr>
        <w:shd w:val="clear" w:color="auto" w:fill="FFFFFF" w:themeFill="background1"/>
      </w:tcPr>
    </w:tblStylePr>
  </w:style>
  <w:style w:type="table" w:styleId="Grillemoyenne3">
    <w:name w:val="Medium Grid 3"/>
    <w:basedOn w:val="TableauNormal"/>
    <w:uiPriority w:val="69"/>
    <w:semiHidden/>
    <w:unhideWhenUsed/>
    <w:rsid w:val="0092468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Grillemoyenne3-Accent1">
    <w:name w:val="Medium Grid 3 Accent 1"/>
    <w:basedOn w:val="TableauNormal"/>
    <w:uiPriority w:val="69"/>
    <w:semiHidden/>
    <w:unhideWhenUsed/>
    <w:rsid w:val="0092468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8D0C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6443C"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6443C"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6443C"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6443C"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2A19D"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2A19D" w:themeFill="accent1" w:themeFillTint="7F"/>
      </w:tcPr>
    </w:tblStylePr>
  </w:style>
  <w:style w:type="table" w:styleId="Grillemoyenne3-Accent2">
    <w:name w:val="Medium Grid 3 Accent 2"/>
    <w:basedOn w:val="TableauNormal"/>
    <w:uiPriority w:val="69"/>
    <w:semiHidden/>
    <w:unhideWhenUsed/>
    <w:rsid w:val="0092468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D5E6"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6589A"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6589A"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6589A"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6589A"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ABCC"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ABCC" w:themeFill="accent2" w:themeFillTint="7F"/>
      </w:tcPr>
    </w:tblStylePr>
  </w:style>
  <w:style w:type="table" w:styleId="Grillemoyenne3-Accent3">
    <w:name w:val="Medium Grid 3 Accent 3"/>
    <w:basedOn w:val="TableauNormal"/>
    <w:uiPriority w:val="69"/>
    <w:semiHidden/>
    <w:unhideWhenUsed/>
    <w:rsid w:val="0092468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5F2"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97CD"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97CD"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97CD"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97CD"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CBE6"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CBE6" w:themeFill="accent3" w:themeFillTint="7F"/>
      </w:tcPr>
    </w:tblStylePr>
  </w:style>
  <w:style w:type="table" w:styleId="Grillemoyenne3-Accent4">
    <w:name w:val="Medium Grid 3 Accent 4"/>
    <w:basedOn w:val="TableauNormal"/>
    <w:uiPriority w:val="69"/>
    <w:semiHidden/>
    <w:unhideWhenUsed/>
    <w:rsid w:val="0092468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2E7E9"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F7F8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F7F8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F7F8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F7F8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5CED4"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5CED4" w:themeFill="accent4" w:themeFillTint="7F"/>
      </w:tcPr>
    </w:tblStylePr>
  </w:style>
  <w:style w:type="table" w:styleId="Grillemoyenne3-Accent5">
    <w:name w:val="Medium Grid 3 Accent 5"/>
    <w:basedOn w:val="TableauNormal"/>
    <w:uiPriority w:val="69"/>
    <w:semiHidden/>
    <w:unhideWhenUsed/>
    <w:rsid w:val="0092468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EC7"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ABC21"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ABC21"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ABC21"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ABC21"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CDD9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CDD90" w:themeFill="accent5" w:themeFillTint="7F"/>
      </w:tcPr>
    </w:tblStylePr>
  </w:style>
  <w:style w:type="table" w:styleId="Grillemoyenne3-Accent6">
    <w:name w:val="Medium Grid 3 Accent 6"/>
    <w:basedOn w:val="TableauNormal"/>
    <w:uiPriority w:val="69"/>
    <w:rsid w:val="0092468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5CFE2"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D7418D"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D7418D"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D7418D"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D7418D"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BA0C6"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BA0C6" w:themeFill="accent6" w:themeFillTint="7F"/>
      </w:tcPr>
    </w:tblStylePr>
  </w:style>
  <w:style w:type="table" w:styleId="Listemoyenne1">
    <w:name w:val="Medium List 1"/>
    <w:basedOn w:val="TableauNormal"/>
    <w:uiPriority w:val="65"/>
    <w:semiHidden/>
    <w:unhideWhenUsed/>
    <w:rsid w:val="0092468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00000"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Listemoyenne1-Accent1">
    <w:name w:val="Medium List 1 Accent 1"/>
    <w:basedOn w:val="TableauNormal"/>
    <w:uiPriority w:val="65"/>
    <w:semiHidden/>
    <w:unhideWhenUsed/>
    <w:rsid w:val="00924684"/>
    <w:pPr>
      <w:spacing w:after="0" w:line="240" w:lineRule="auto"/>
    </w:pPr>
    <w:rPr>
      <w:color w:val="000000" w:themeColor="text1"/>
    </w:rPr>
    <w:tblPr>
      <w:tblStyleRowBandSize w:val="1"/>
      <w:tblStyleColBandSize w:val="1"/>
      <w:tblBorders>
        <w:top w:val="single" w:sz="8" w:space="0" w:color="E6443C" w:themeColor="accent1"/>
        <w:bottom w:val="single" w:sz="8" w:space="0" w:color="E6443C" w:themeColor="accent1"/>
      </w:tblBorders>
    </w:tblPr>
    <w:tblStylePr w:type="firstRow">
      <w:rPr>
        <w:rFonts w:asciiTheme="majorHAnsi" w:eastAsiaTheme="majorEastAsia" w:hAnsiTheme="majorHAnsi" w:cstheme="majorBidi"/>
      </w:rPr>
      <w:tblPr/>
      <w:tcPr>
        <w:tcBorders>
          <w:top w:val="nil"/>
          <w:bottom w:val="single" w:sz="8" w:space="0" w:color="E6443C" w:themeColor="accent1"/>
        </w:tcBorders>
      </w:tcPr>
    </w:tblStylePr>
    <w:tblStylePr w:type="lastRow">
      <w:rPr>
        <w:b/>
        <w:bCs/>
        <w:color w:val="000000" w:themeColor="text2"/>
      </w:rPr>
      <w:tblPr/>
      <w:tcPr>
        <w:tcBorders>
          <w:top w:val="single" w:sz="8" w:space="0" w:color="E6443C" w:themeColor="accent1"/>
          <w:bottom w:val="single" w:sz="8" w:space="0" w:color="E6443C" w:themeColor="accent1"/>
        </w:tcBorders>
      </w:tcPr>
    </w:tblStylePr>
    <w:tblStylePr w:type="firstCol">
      <w:rPr>
        <w:b/>
        <w:bCs/>
      </w:rPr>
    </w:tblStylePr>
    <w:tblStylePr w:type="lastCol">
      <w:rPr>
        <w:b/>
        <w:bCs/>
      </w:rPr>
      <w:tblPr/>
      <w:tcPr>
        <w:tcBorders>
          <w:top w:val="single" w:sz="8" w:space="0" w:color="E6443C" w:themeColor="accent1"/>
          <w:bottom w:val="single" w:sz="8" w:space="0" w:color="E6443C" w:themeColor="accent1"/>
        </w:tcBorders>
      </w:tcPr>
    </w:tblStylePr>
    <w:tblStylePr w:type="band1Vert">
      <w:tblPr/>
      <w:tcPr>
        <w:shd w:val="clear" w:color="auto" w:fill="F8D0CE" w:themeFill="accent1" w:themeFillTint="3F"/>
      </w:tcPr>
    </w:tblStylePr>
    <w:tblStylePr w:type="band1Horz">
      <w:tblPr/>
      <w:tcPr>
        <w:shd w:val="clear" w:color="auto" w:fill="F8D0CE" w:themeFill="accent1" w:themeFillTint="3F"/>
      </w:tcPr>
    </w:tblStylePr>
  </w:style>
  <w:style w:type="table" w:styleId="Listemoyenne1-Accent2">
    <w:name w:val="Medium List 1 Accent 2"/>
    <w:basedOn w:val="TableauNormal"/>
    <w:uiPriority w:val="65"/>
    <w:semiHidden/>
    <w:unhideWhenUsed/>
    <w:rsid w:val="00924684"/>
    <w:pPr>
      <w:spacing w:after="0" w:line="240" w:lineRule="auto"/>
    </w:pPr>
    <w:rPr>
      <w:color w:val="000000" w:themeColor="text1"/>
    </w:rPr>
    <w:tblPr>
      <w:tblStyleRowBandSize w:val="1"/>
      <w:tblStyleColBandSize w:val="1"/>
      <w:tblBorders>
        <w:top w:val="single" w:sz="8" w:space="0" w:color="A6589A" w:themeColor="accent2"/>
        <w:bottom w:val="single" w:sz="8" w:space="0" w:color="A6589A" w:themeColor="accent2"/>
      </w:tblBorders>
    </w:tblPr>
    <w:tblStylePr w:type="firstRow">
      <w:rPr>
        <w:rFonts w:asciiTheme="majorHAnsi" w:eastAsiaTheme="majorEastAsia" w:hAnsiTheme="majorHAnsi" w:cstheme="majorBidi"/>
      </w:rPr>
      <w:tblPr/>
      <w:tcPr>
        <w:tcBorders>
          <w:top w:val="nil"/>
          <w:bottom w:val="single" w:sz="8" w:space="0" w:color="A6589A" w:themeColor="accent2"/>
        </w:tcBorders>
      </w:tcPr>
    </w:tblStylePr>
    <w:tblStylePr w:type="lastRow">
      <w:rPr>
        <w:b/>
        <w:bCs/>
        <w:color w:val="000000" w:themeColor="text2"/>
      </w:rPr>
      <w:tblPr/>
      <w:tcPr>
        <w:tcBorders>
          <w:top w:val="single" w:sz="8" w:space="0" w:color="A6589A" w:themeColor="accent2"/>
          <w:bottom w:val="single" w:sz="8" w:space="0" w:color="A6589A" w:themeColor="accent2"/>
        </w:tcBorders>
      </w:tcPr>
    </w:tblStylePr>
    <w:tblStylePr w:type="firstCol">
      <w:rPr>
        <w:b/>
        <w:bCs/>
      </w:rPr>
    </w:tblStylePr>
    <w:tblStylePr w:type="lastCol">
      <w:rPr>
        <w:b/>
        <w:bCs/>
      </w:rPr>
      <w:tblPr/>
      <w:tcPr>
        <w:tcBorders>
          <w:top w:val="single" w:sz="8" w:space="0" w:color="A6589A" w:themeColor="accent2"/>
          <w:bottom w:val="single" w:sz="8" w:space="0" w:color="A6589A" w:themeColor="accent2"/>
        </w:tcBorders>
      </w:tcPr>
    </w:tblStylePr>
    <w:tblStylePr w:type="band1Vert">
      <w:tblPr/>
      <w:tcPr>
        <w:shd w:val="clear" w:color="auto" w:fill="E9D5E6" w:themeFill="accent2" w:themeFillTint="3F"/>
      </w:tcPr>
    </w:tblStylePr>
    <w:tblStylePr w:type="band1Horz">
      <w:tblPr/>
      <w:tcPr>
        <w:shd w:val="clear" w:color="auto" w:fill="E9D5E6" w:themeFill="accent2" w:themeFillTint="3F"/>
      </w:tcPr>
    </w:tblStylePr>
  </w:style>
  <w:style w:type="table" w:styleId="Listemoyenne1-Accent3">
    <w:name w:val="Medium List 1 Accent 3"/>
    <w:basedOn w:val="TableauNormal"/>
    <w:uiPriority w:val="65"/>
    <w:semiHidden/>
    <w:unhideWhenUsed/>
    <w:rsid w:val="00924684"/>
    <w:pPr>
      <w:spacing w:after="0" w:line="240" w:lineRule="auto"/>
    </w:pPr>
    <w:rPr>
      <w:color w:val="000000" w:themeColor="text1"/>
    </w:rPr>
    <w:tblPr>
      <w:tblStyleRowBandSize w:val="1"/>
      <w:tblStyleColBandSize w:val="1"/>
      <w:tblBorders>
        <w:top w:val="single" w:sz="8" w:space="0" w:color="4B97CD" w:themeColor="accent3"/>
        <w:bottom w:val="single" w:sz="8" w:space="0" w:color="4B97CD" w:themeColor="accent3"/>
      </w:tblBorders>
    </w:tblPr>
    <w:tblStylePr w:type="firstRow">
      <w:rPr>
        <w:rFonts w:asciiTheme="majorHAnsi" w:eastAsiaTheme="majorEastAsia" w:hAnsiTheme="majorHAnsi" w:cstheme="majorBidi"/>
      </w:rPr>
      <w:tblPr/>
      <w:tcPr>
        <w:tcBorders>
          <w:top w:val="nil"/>
          <w:bottom w:val="single" w:sz="8" w:space="0" w:color="4B97CD" w:themeColor="accent3"/>
        </w:tcBorders>
      </w:tcPr>
    </w:tblStylePr>
    <w:tblStylePr w:type="lastRow">
      <w:rPr>
        <w:b/>
        <w:bCs/>
        <w:color w:val="000000" w:themeColor="text2"/>
      </w:rPr>
      <w:tblPr/>
      <w:tcPr>
        <w:tcBorders>
          <w:top w:val="single" w:sz="8" w:space="0" w:color="4B97CD" w:themeColor="accent3"/>
          <w:bottom w:val="single" w:sz="8" w:space="0" w:color="4B97CD" w:themeColor="accent3"/>
        </w:tcBorders>
      </w:tcPr>
    </w:tblStylePr>
    <w:tblStylePr w:type="firstCol">
      <w:rPr>
        <w:b/>
        <w:bCs/>
      </w:rPr>
    </w:tblStylePr>
    <w:tblStylePr w:type="lastCol">
      <w:rPr>
        <w:b/>
        <w:bCs/>
      </w:rPr>
      <w:tblPr/>
      <w:tcPr>
        <w:tcBorders>
          <w:top w:val="single" w:sz="8" w:space="0" w:color="4B97CD" w:themeColor="accent3"/>
          <w:bottom w:val="single" w:sz="8" w:space="0" w:color="4B97CD" w:themeColor="accent3"/>
        </w:tcBorders>
      </w:tcPr>
    </w:tblStylePr>
    <w:tblStylePr w:type="band1Vert">
      <w:tblPr/>
      <w:tcPr>
        <w:shd w:val="clear" w:color="auto" w:fill="D2E5F2" w:themeFill="accent3" w:themeFillTint="3F"/>
      </w:tcPr>
    </w:tblStylePr>
    <w:tblStylePr w:type="band1Horz">
      <w:tblPr/>
      <w:tcPr>
        <w:shd w:val="clear" w:color="auto" w:fill="D2E5F2" w:themeFill="accent3" w:themeFillTint="3F"/>
      </w:tcPr>
    </w:tblStylePr>
  </w:style>
  <w:style w:type="table" w:styleId="Listemoyenne1-Accent4">
    <w:name w:val="Medium List 1 Accent 4"/>
    <w:basedOn w:val="TableauNormal"/>
    <w:uiPriority w:val="65"/>
    <w:semiHidden/>
    <w:unhideWhenUsed/>
    <w:rsid w:val="00924684"/>
    <w:pPr>
      <w:spacing w:after="0" w:line="240" w:lineRule="auto"/>
    </w:pPr>
    <w:rPr>
      <w:color w:val="000000" w:themeColor="text1"/>
    </w:rPr>
    <w:tblPr>
      <w:tblStyleRowBandSize w:val="1"/>
      <w:tblStyleColBandSize w:val="1"/>
      <w:tblBorders>
        <w:top w:val="single" w:sz="8" w:space="0" w:color="2F7F85" w:themeColor="accent4"/>
        <w:bottom w:val="single" w:sz="8" w:space="0" w:color="2F7F85" w:themeColor="accent4"/>
      </w:tblBorders>
    </w:tblPr>
    <w:tblStylePr w:type="firstRow">
      <w:rPr>
        <w:rFonts w:asciiTheme="majorHAnsi" w:eastAsiaTheme="majorEastAsia" w:hAnsiTheme="majorHAnsi" w:cstheme="majorBidi"/>
      </w:rPr>
      <w:tblPr/>
      <w:tcPr>
        <w:tcBorders>
          <w:top w:val="nil"/>
          <w:bottom w:val="single" w:sz="8" w:space="0" w:color="2F7F85" w:themeColor="accent4"/>
        </w:tcBorders>
      </w:tcPr>
    </w:tblStylePr>
    <w:tblStylePr w:type="lastRow">
      <w:rPr>
        <w:b/>
        <w:bCs/>
        <w:color w:val="000000" w:themeColor="text2"/>
      </w:rPr>
      <w:tblPr/>
      <w:tcPr>
        <w:tcBorders>
          <w:top w:val="single" w:sz="8" w:space="0" w:color="2F7F85" w:themeColor="accent4"/>
          <w:bottom w:val="single" w:sz="8" w:space="0" w:color="2F7F85" w:themeColor="accent4"/>
        </w:tcBorders>
      </w:tcPr>
    </w:tblStylePr>
    <w:tblStylePr w:type="firstCol">
      <w:rPr>
        <w:b/>
        <w:bCs/>
      </w:rPr>
    </w:tblStylePr>
    <w:tblStylePr w:type="lastCol">
      <w:rPr>
        <w:b/>
        <w:bCs/>
      </w:rPr>
      <w:tblPr/>
      <w:tcPr>
        <w:tcBorders>
          <w:top w:val="single" w:sz="8" w:space="0" w:color="2F7F85" w:themeColor="accent4"/>
          <w:bottom w:val="single" w:sz="8" w:space="0" w:color="2F7F85" w:themeColor="accent4"/>
        </w:tcBorders>
      </w:tcPr>
    </w:tblStylePr>
    <w:tblStylePr w:type="band1Vert">
      <w:tblPr/>
      <w:tcPr>
        <w:shd w:val="clear" w:color="auto" w:fill="C2E7E9" w:themeFill="accent4" w:themeFillTint="3F"/>
      </w:tcPr>
    </w:tblStylePr>
    <w:tblStylePr w:type="band1Horz">
      <w:tblPr/>
      <w:tcPr>
        <w:shd w:val="clear" w:color="auto" w:fill="C2E7E9" w:themeFill="accent4" w:themeFillTint="3F"/>
      </w:tcPr>
    </w:tblStylePr>
  </w:style>
  <w:style w:type="table" w:styleId="Listemoyenne1-Accent5">
    <w:name w:val="Medium List 1 Accent 5"/>
    <w:basedOn w:val="TableauNormal"/>
    <w:uiPriority w:val="65"/>
    <w:semiHidden/>
    <w:unhideWhenUsed/>
    <w:rsid w:val="00924684"/>
    <w:pPr>
      <w:spacing w:after="0" w:line="240" w:lineRule="auto"/>
    </w:pPr>
    <w:rPr>
      <w:color w:val="000000" w:themeColor="text1"/>
    </w:rPr>
    <w:tblPr>
      <w:tblStyleRowBandSize w:val="1"/>
      <w:tblStyleColBandSize w:val="1"/>
      <w:tblBorders>
        <w:top w:val="single" w:sz="8" w:space="0" w:color="FABC21" w:themeColor="accent5"/>
        <w:bottom w:val="single" w:sz="8" w:space="0" w:color="FABC21" w:themeColor="accent5"/>
      </w:tblBorders>
    </w:tblPr>
    <w:tblStylePr w:type="firstRow">
      <w:rPr>
        <w:rFonts w:asciiTheme="majorHAnsi" w:eastAsiaTheme="majorEastAsia" w:hAnsiTheme="majorHAnsi" w:cstheme="majorBidi"/>
      </w:rPr>
      <w:tblPr/>
      <w:tcPr>
        <w:tcBorders>
          <w:top w:val="nil"/>
          <w:bottom w:val="single" w:sz="8" w:space="0" w:color="FABC21" w:themeColor="accent5"/>
        </w:tcBorders>
      </w:tcPr>
    </w:tblStylePr>
    <w:tblStylePr w:type="lastRow">
      <w:rPr>
        <w:b/>
        <w:bCs/>
        <w:color w:val="000000" w:themeColor="text2"/>
      </w:rPr>
      <w:tblPr/>
      <w:tcPr>
        <w:tcBorders>
          <w:top w:val="single" w:sz="8" w:space="0" w:color="FABC21" w:themeColor="accent5"/>
          <w:bottom w:val="single" w:sz="8" w:space="0" w:color="FABC21" w:themeColor="accent5"/>
        </w:tcBorders>
      </w:tcPr>
    </w:tblStylePr>
    <w:tblStylePr w:type="firstCol">
      <w:rPr>
        <w:b/>
        <w:bCs/>
      </w:rPr>
    </w:tblStylePr>
    <w:tblStylePr w:type="lastCol">
      <w:rPr>
        <w:b/>
        <w:bCs/>
      </w:rPr>
      <w:tblPr/>
      <w:tcPr>
        <w:tcBorders>
          <w:top w:val="single" w:sz="8" w:space="0" w:color="FABC21" w:themeColor="accent5"/>
          <w:bottom w:val="single" w:sz="8" w:space="0" w:color="FABC21" w:themeColor="accent5"/>
        </w:tcBorders>
      </w:tcPr>
    </w:tblStylePr>
    <w:tblStylePr w:type="band1Vert">
      <w:tblPr/>
      <w:tcPr>
        <w:shd w:val="clear" w:color="auto" w:fill="FDEEC7" w:themeFill="accent5" w:themeFillTint="3F"/>
      </w:tcPr>
    </w:tblStylePr>
    <w:tblStylePr w:type="band1Horz">
      <w:tblPr/>
      <w:tcPr>
        <w:shd w:val="clear" w:color="auto" w:fill="FDEEC7" w:themeFill="accent5" w:themeFillTint="3F"/>
      </w:tcPr>
    </w:tblStylePr>
  </w:style>
  <w:style w:type="table" w:styleId="Listemoyenne1-Accent6">
    <w:name w:val="Medium List 1 Accent 6"/>
    <w:basedOn w:val="TableauNormal"/>
    <w:uiPriority w:val="65"/>
    <w:semiHidden/>
    <w:unhideWhenUsed/>
    <w:rsid w:val="00924684"/>
    <w:pPr>
      <w:spacing w:after="0" w:line="240" w:lineRule="auto"/>
    </w:pPr>
    <w:rPr>
      <w:color w:val="000000" w:themeColor="text1"/>
    </w:rPr>
    <w:tblPr>
      <w:tblStyleRowBandSize w:val="1"/>
      <w:tblStyleColBandSize w:val="1"/>
      <w:tblBorders>
        <w:top w:val="single" w:sz="8" w:space="0" w:color="D7418D" w:themeColor="accent6"/>
        <w:bottom w:val="single" w:sz="8" w:space="0" w:color="D7418D" w:themeColor="accent6"/>
      </w:tblBorders>
    </w:tblPr>
    <w:tblStylePr w:type="firstRow">
      <w:rPr>
        <w:rFonts w:asciiTheme="majorHAnsi" w:eastAsiaTheme="majorEastAsia" w:hAnsiTheme="majorHAnsi" w:cstheme="majorBidi"/>
      </w:rPr>
      <w:tblPr/>
      <w:tcPr>
        <w:tcBorders>
          <w:top w:val="nil"/>
          <w:bottom w:val="single" w:sz="8" w:space="0" w:color="D7418D" w:themeColor="accent6"/>
        </w:tcBorders>
      </w:tcPr>
    </w:tblStylePr>
    <w:tblStylePr w:type="lastRow">
      <w:rPr>
        <w:b/>
        <w:bCs/>
        <w:color w:val="000000" w:themeColor="text2"/>
      </w:rPr>
      <w:tblPr/>
      <w:tcPr>
        <w:tcBorders>
          <w:top w:val="single" w:sz="8" w:space="0" w:color="D7418D" w:themeColor="accent6"/>
          <w:bottom w:val="single" w:sz="8" w:space="0" w:color="D7418D" w:themeColor="accent6"/>
        </w:tcBorders>
      </w:tcPr>
    </w:tblStylePr>
    <w:tblStylePr w:type="firstCol">
      <w:rPr>
        <w:b/>
        <w:bCs/>
      </w:rPr>
    </w:tblStylePr>
    <w:tblStylePr w:type="lastCol">
      <w:rPr>
        <w:b/>
        <w:bCs/>
      </w:rPr>
      <w:tblPr/>
      <w:tcPr>
        <w:tcBorders>
          <w:top w:val="single" w:sz="8" w:space="0" w:color="D7418D" w:themeColor="accent6"/>
          <w:bottom w:val="single" w:sz="8" w:space="0" w:color="D7418D" w:themeColor="accent6"/>
        </w:tcBorders>
      </w:tcPr>
    </w:tblStylePr>
    <w:tblStylePr w:type="band1Vert">
      <w:tblPr/>
      <w:tcPr>
        <w:shd w:val="clear" w:color="auto" w:fill="F5CFE2" w:themeFill="accent6" w:themeFillTint="3F"/>
      </w:tcPr>
    </w:tblStylePr>
    <w:tblStylePr w:type="band1Horz">
      <w:tblPr/>
      <w:tcPr>
        <w:shd w:val="clear" w:color="auto" w:fill="F5CFE2" w:themeFill="accent6" w:themeFillTint="3F"/>
      </w:tcPr>
    </w:tblStylePr>
  </w:style>
  <w:style w:type="table" w:styleId="Listemoyenne2">
    <w:name w:val="Medium List 2"/>
    <w:basedOn w:val="TableauNormal"/>
    <w:uiPriority w:val="66"/>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1">
    <w:name w:val="Medium List 2 Accent 1"/>
    <w:basedOn w:val="TableauNormal"/>
    <w:uiPriority w:val="66"/>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E6443C" w:themeColor="accent1"/>
        <w:left w:val="single" w:sz="8" w:space="0" w:color="E6443C" w:themeColor="accent1"/>
        <w:bottom w:val="single" w:sz="8" w:space="0" w:color="E6443C" w:themeColor="accent1"/>
        <w:right w:val="single" w:sz="8" w:space="0" w:color="E6443C" w:themeColor="accent1"/>
      </w:tblBorders>
    </w:tblPr>
    <w:tblStylePr w:type="firstRow">
      <w:rPr>
        <w:sz w:val="24"/>
        <w:szCs w:val="24"/>
      </w:rPr>
      <w:tblPr/>
      <w:tcPr>
        <w:tcBorders>
          <w:top w:val="nil"/>
          <w:left w:val="nil"/>
          <w:bottom w:val="single" w:sz="24" w:space="0" w:color="E6443C" w:themeColor="accent1"/>
          <w:right w:val="nil"/>
          <w:insideH w:val="nil"/>
          <w:insideV w:val="nil"/>
        </w:tcBorders>
        <w:shd w:val="clear" w:color="auto" w:fill="FFFFFF" w:themeFill="background1"/>
      </w:tcPr>
    </w:tblStylePr>
    <w:tblStylePr w:type="lastRow">
      <w:tblPr/>
      <w:tcPr>
        <w:tcBorders>
          <w:top w:val="single" w:sz="8" w:space="0" w:color="E6443C"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6443C" w:themeColor="accent1"/>
          <w:insideH w:val="nil"/>
          <w:insideV w:val="nil"/>
        </w:tcBorders>
        <w:shd w:val="clear" w:color="auto" w:fill="FFFFFF" w:themeFill="background1"/>
      </w:tcPr>
    </w:tblStylePr>
    <w:tblStylePr w:type="lastCol">
      <w:tblPr/>
      <w:tcPr>
        <w:tcBorders>
          <w:top w:val="nil"/>
          <w:left w:val="single" w:sz="8" w:space="0" w:color="E6443C"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8D0CE" w:themeFill="accent1" w:themeFillTint="3F"/>
      </w:tcPr>
    </w:tblStylePr>
    <w:tblStylePr w:type="band1Horz">
      <w:tblPr/>
      <w:tcPr>
        <w:tcBorders>
          <w:top w:val="nil"/>
          <w:bottom w:val="nil"/>
          <w:insideH w:val="nil"/>
          <w:insideV w:val="nil"/>
        </w:tcBorders>
        <w:shd w:val="clear" w:color="auto" w:fill="F8D0C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2">
    <w:name w:val="Medium List 2 Accent 2"/>
    <w:basedOn w:val="TableauNormal"/>
    <w:uiPriority w:val="66"/>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A6589A" w:themeColor="accent2"/>
        <w:left w:val="single" w:sz="8" w:space="0" w:color="A6589A" w:themeColor="accent2"/>
        <w:bottom w:val="single" w:sz="8" w:space="0" w:color="A6589A" w:themeColor="accent2"/>
        <w:right w:val="single" w:sz="8" w:space="0" w:color="A6589A" w:themeColor="accent2"/>
      </w:tblBorders>
    </w:tblPr>
    <w:tblStylePr w:type="firstRow">
      <w:rPr>
        <w:sz w:val="24"/>
        <w:szCs w:val="24"/>
      </w:rPr>
      <w:tblPr/>
      <w:tcPr>
        <w:tcBorders>
          <w:top w:val="nil"/>
          <w:left w:val="nil"/>
          <w:bottom w:val="single" w:sz="24" w:space="0" w:color="A6589A" w:themeColor="accent2"/>
          <w:right w:val="nil"/>
          <w:insideH w:val="nil"/>
          <w:insideV w:val="nil"/>
        </w:tcBorders>
        <w:shd w:val="clear" w:color="auto" w:fill="FFFFFF" w:themeFill="background1"/>
      </w:tcPr>
    </w:tblStylePr>
    <w:tblStylePr w:type="lastRow">
      <w:tblPr/>
      <w:tcPr>
        <w:tcBorders>
          <w:top w:val="single" w:sz="8" w:space="0" w:color="A6589A" w:themeColor="accent2"/>
          <w:left w:val="nil"/>
          <w:right w:val="nil"/>
          <w:insideH w:val="nil"/>
          <w:insideV w:val="nil"/>
        </w:tcBorders>
        <w:shd w:val="clear" w:color="auto" w:fill="FFFFFF" w:themeFill="background1"/>
      </w:tcPr>
    </w:tblStylePr>
    <w:tblStylePr w:type="firstCol">
      <w:tblPr/>
      <w:tcPr>
        <w:tcBorders>
          <w:top w:val="nil"/>
          <w:left w:val="nil"/>
          <w:bottom w:val="nil"/>
          <w:right w:val="single" w:sz="8" w:space="0" w:color="A6589A" w:themeColor="accent2"/>
          <w:insideH w:val="nil"/>
          <w:insideV w:val="nil"/>
        </w:tcBorders>
        <w:shd w:val="clear" w:color="auto" w:fill="FFFFFF" w:themeFill="background1"/>
      </w:tcPr>
    </w:tblStylePr>
    <w:tblStylePr w:type="lastCol">
      <w:tblPr/>
      <w:tcPr>
        <w:tcBorders>
          <w:top w:val="nil"/>
          <w:left w:val="single" w:sz="8" w:space="0" w:color="A6589A"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D5E6" w:themeFill="accent2" w:themeFillTint="3F"/>
      </w:tcPr>
    </w:tblStylePr>
    <w:tblStylePr w:type="band1Horz">
      <w:tblPr/>
      <w:tcPr>
        <w:tcBorders>
          <w:top w:val="nil"/>
          <w:bottom w:val="nil"/>
          <w:insideH w:val="nil"/>
          <w:insideV w:val="nil"/>
        </w:tcBorders>
        <w:shd w:val="clear" w:color="auto" w:fill="E9D5E6"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3">
    <w:name w:val="Medium List 2 Accent 3"/>
    <w:basedOn w:val="TableauNormal"/>
    <w:uiPriority w:val="66"/>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97CD" w:themeColor="accent3"/>
        <w:left w:val="single" w:sz="8" w:space="0" w:color="4B97CD" w:themeColor="accent3"/>
        <w:bottom w:val="single" w:sz="8" w:space="0" w:color="4B97CD" w:themeColor="accent3"/>
        <w:right w:val="single" w:sz="8" w:space="0" w:color="4B97CD" w:themeColor="accent3"/>
      </w:tblBorders>
    </w:tblPr>
    <w:tblStylePr w:type="firstRow">
      <w:rPr>
        <w:sz w:val="24"/>
        <w:szCs w:val="24"/>
      </w:rPr>
      <w:tblPr/>
      <w:tcPr>
        <w:tcBorders>
          <w:top w:val="nil"/>
          <w:left w:val="nil"/>
          <w:bottom w:val="single" w:sz="24" w:space="0" w:color="4B97CD" w:themeColor="accent3"/>
          <w:right w:val="nil"/>
          <w:insideH w:val="nil"/>
          <w:insideV w:val="nil"/>
        </w:tcBorders>
        <w:shd w:val="clear" w:color="auto" w:fill="FFFFFF" w:themeFill="background1"/>
      </w:tcPr>
    </w:tblStylePr>
    <w:tblStylePr w:type="lastRow">
      <w:tblPr/>
      <w:tcPr>
        <w:tcBorders>
          <w:top w:val="single" w:sz="8" w:space="0" w:color="4B97CD"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97CD" w:themeColor="accent3"/>
          <w:insideH w:val="nil"/>
          <w:insideV w:val="nil"/>
        </w:tcBorders>
        <w:shd w:val="clear" w:color="auto" w:fill="FFFFFF" w:themeFill="background1"/>
      </w:tcPr>
    </w:tblStylePr>
    <w:tblStylePr w:type="lastCol">
      <w:tblPr/>
      <w:tcPr>
        <w:tcBorders>
          <w:top w:val="nil"/>
          <w:left w:val="single" w:sz="8" w:space="0" w:color="4B97CD"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5F2" w:themeFill="accent3" w:themeFillTint="3F"/>
      </w:tcPr>
    </w:tblStylePr>
    <w:tblStylePr w:type="band1Horz">
      <w:tblPr/>
      <w:tcPr>
        <w:tcBorders>
          <w:top w:val="nil"/>
          <w:bottom w:val="nil"/>
          <w:insideH w:val="nil"/>
          <w:insideV w:val="nil"/>
        </w:tcBorders>
        <w:shd w:val="clear" w:color="auto" w:fill="D2E5F2"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4">
    <w:name w:val="Medium List 2 Accent 4"/>
    <w:basedOn w:val="TableauNormal"/>
    <w:uiPriority w:val="66"/>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2F7F85" w:themeColor="accent4"/>
        <w:left w:val="single" w:sz="8" w:space="0" w:color="2F7F85" w:themeColor="accent4"/>
        <w:bottom w:val="single" w:sz="8" w:space="0" w:color="2F7F85" w:themeColor="accent4"/>
        <w:right w:val="single" w:sz="8" w:space="0" w:color="2F7F85" w:themeColor="accent4"/>
      </w:tblBorders>
    </w:tblPr>
    <w:tblStylePr w:type="firstRow">
      <w:rPr>
        <w:sz w:val="24"/>
        <w:szCs w:val="24"/>
      </w:rPr>
      <w:tblPr/>
      <w:tcPr>
        <w:tcBorders>
          <w:top w:val="nil"/>
          <w:left w:val="nil"/>
          <w:bottom w:val="single" w:sz="24" w:space="0" w:color="2F7F85" w:themeColor="accent4"/>
          <w:right w:val="nil"/>
          <w:insideH w:val="nil"/>
          <w:insideV w:val="nil"/>
        </w:tcBorders>
        <w:shd w:val="clear" w:color="auto" w:fill="FFFFFF" w:themeFill="background1"/>
      </w:tcPr>
    </w:tblStylePr>
    <w:tblStylePr w:type="lastRow">
      <w:tblPr/>
      <w:tcPr>
        <w:tcBorders>
          <w:top w:val="single" w:sz="8" w:space="0" w:color="2F7F85"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F7F85" w:themeColor="accent4"/>
          <w:insideH w:val="nil"/>
          <w:insideV w:val="nil"/>
        </w:tcBorders>
        <w:shd w:val="clear" w:color="auto" w:fill="FFFFFF" w:themeFill="background1"/>
      </w:tcPr>
    </w:tblStylePr>
    <w:tblStylePr w:type="lastCol">
      <w:tblPr/>
      <w:tcPr>
        <w:tcBorders>
          <w:top w:val="nil"/>
          <w:left w:val="single" w:sz="8" w:space="0" w:color="2F7F8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2E7E9" w:themeFill="accent4" w:themeFillTint="3F"/>
      </w:tcPr>
    </w:tblStylePr>
    <w:tblStylePr w:type="band1Horz">
      <w:tblPr/>
      <w:tcPr>
        <w:tcBorders>
          <w:top w:val="nil"/>
          <w:bottom w:val="nil"/>
          <w:insideH w:val="nil"/>
          <w:insideV w:val="nil"/>
        </w:tcBorders>
        <w:shd w:val="clear" w:color="auto" w:fill="C2E7E9"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5">
    <w:name w:val="Medium List 2 Accent 5"/>
    <w:basedOn w:val="TableauNormal"/>
    <w:uiPriority w:val="66"/>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ABC21" w:themeColor="accent5"/>
        <w:left w:val="single" w:sz="8" w:space="0" w:color="FABC21" w:themeColor="accent5"/>
        <w:bottom w:val="single" w:sz="8" w:space="0" w:color="FABC21" w:themeColor="accent5"/>
        <w:right w:val="single" w:sz="8" w:space="0" w:color="FABC21" w:themeColor="accent5"/>
      </w:tblBorders>
    </w:tblPr>
    <w:tblStylePr w:type="firstRow">
      <w:rPr>
        <w:sz w:val="24"/>
        <w:szCs w:val="24"/>
      </w:rPr>
      <w:tblPr/>
      <w:tcPr>
        <w:tcBorders>
          <w:top w:val="nil"/>
          <w:left w:val="nil"/>
          <w:bottom w:val="single" w:sz="24" w:space="0" w:color="FABC21" w:themeColor="accent5"/>
          <w:right w:val="nil"/>
          <w:insideH w:val="nil"/>
          <w:insideV w:val="nil"/>
        </w:tcBorders>
        <w:shd w:val="clear" w:color="auto" w:fill="FFFFFF" w:themeFill="background1"/>
      </w:tcPr>
    </w:tblStylePr>
    <w:tblStylePr w:type="lastRow">
      <w:tblPr/>
      <w:tcPr>
        <w:tcBorders>
          <w:top w:val="single" w:sz="8" w:space="0" w:color="FABC21"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ABC21" w:themeColor="accent5"/>
          <w:insideH w:val="nil"/>
          <w:insideV w:val="nil"/>
        </w:tcBorders>
        <w:shd w:val="clear" w:color="auto" w:fill="FFFFFF" w:themeFill="background1"/>
      </w:tcPr>
    </w:tblStylePr>
    <w:tblStylePr w:type="lastCol">
      <w:tblPr/>
      <w:tcPr>
        <w:tcBorders>
          <w:top w:val="nil"/>
          <w:left w:val="single" w:sz="8" w:space="0" w:color="FABC21"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EC7" w:themeFill="accent5" w:themeFillTint="3F"/>
      </w:tcPr>
    </w:tblStylePr>
    <w:tblStylePr w:type="band1Horz">
      <w:tblPr/>
      <w:tcPr>
        <w:tcBorders>
          <w:top w:val="nil"/>
          <w:bottom w:val="nil"/>
          <w:insideH w:val="nil"/>
          <w:insideV w:val="nil"/>
        </w:tcBorders>
        <w:shd w:val="clear" w:color="auto" w:fill="FDEEC7"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Listemoyenne2-Accent6">
    <w:name w:val="Medium List 2 Accent 6"/>
    <w:basedOn w:val="TableauNormal"/>
    <w:uiPriority w:val="66"/>
    <w:semiHidden/>
    <w:unhideWhenUsed/>
    <w:rsid w:val="0092468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D7418D" w:themeColor="accent6"/>
        <w:left w:val="single" w:sz="8" w:space="0" w:color="D7418D" w:themeColor="accent6"/>
        <w:bottom w:val="single" w:sz="8" w:space="0" w:color="D7418D" w:themeColor="accent6"/>
        <w:right w:val="single" w:sz="8" w:space="0" w:color="D7418D" w:themeColor="accent6"/>
      </w:tblBorders>
    </w:tblPr>
    <w:tblStylePr w:type="firstRow">
      <w:rPr>
        <w:sz w:val="24"/>
        <w:szCs w:val="24"/>
      </w:rPr>
      <w:tblPr/>
      <w:tcPr>
        <w:tcBorders>
          <w:top w:val="nil"/>
          <w:left w:val="nil"/>
          <w:bottom w:val="single" w:sz="24" w:space="0" w:color="D7418D" w:themeColor="accent6"/>
          <w:right w:val="nil"/>
          <w:insideH w:val="nil"/>
          <w:insideV w:val="nil"/>
        </w:tcBorders>
        <w:shd w:val="clear" w:color="auto" w:fill="FFFFFF" w:themeFill="background1"/>
      </w:tcPr>
    </w:tblStylePr>
    <w:tblStylePr w:type="lastRow">
      <w:tblPr/>
      <w:tcPr>
        <w:tcBorders>
          <w:top w:val="single" w:sz="8" w:space="0" w:color="D7418D"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D7418D" w:themeColor="accent6"/>
          <w:insideH w:val="nil"/>
          <w:insideV w:val="nil"/>
        </w:tcBorders>
        <w:shd w:val="clear" w:color="auto" w:fill="FFFFFF" w:themeFill="background1"/>
      </w:tcPr>
    </w:tblStylePr>
    <w:tblStylePr w:type="lastCol">
      <w:tblPr/>
      <w:tcPr>
        <w:tcBorders>
          <w:top w:val="nil"/>
          <w:left w:val="single" w:sz="8" w:space="0" w:color="D7418D"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5CFE2" w:themeFill="accent6" w:themeFillTint="3F"/>
      </w:tcPr>
    </w:tblStylePr>
    <w:tblStylePr w:type="band1Horz">
      <w:tblPr/>
      <w:tcPr>
        <w:tcBorders>
          <w:top w:val="nil"/>
          <w:bottom w:val="nil"/>
          <w:insideH w:val="nil"/>
          <w:insideV w:val="nil"/>
        </w:tcBorders>
        <w:shd w:val="clear" w:color="auto" w:fill="F5CFE2"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Tramemoyenne1">
    <w:name w:val="Medium Shading 1"/>
    <w:basedOn w:val="TableauNormal"/>
    <w:uiPriority w:val="63"/>
    <w:semiHidden/>
    <w:unhideWhenUsed/>
    <w:rsid w:val="0092468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Tramemoyenne1-Accent1">
    <w:name w:val="Medium Shading 1 Accent 1"/>
    <w:basedOn w:val="TableauNormal"/>
    <w:uiPriority w:val="63"/>
    <w:rsid w:val="00924684"/>
    <w:pPr>
      <w:spacing w:after="0" w:line="240" w:lineRule="auto"/>
    </w:pPr>
    <w:tblPr>
      <w:tblStyleRowBandSize w:val="1"/>
      <w:tblStyleColBandSize w:val="1"/>
      <w:tblBorders>
        <w:top w:val="single" w:sz="8" w:space="0" w:color="EC726C" w:themeColor="accent1" w:themeTint="BF"/>
        <w:left w:val="single" w:sz="8" w:space="0" w:color="EC726C" w:themeColor="accent1" w:themeTint="BF"/>
        <w:bottom w:val="single" w:sz="8" w:space="0" w:color="EC726C" w:themeColor="accent1" w:themeTint="BF"/>
        <w:right w:val="single" w:sz="8" w:space="0" w:color="EC726C" w:themeColor="accent1" w:themeTint="BF"/>
        <w:insideH w:val="single" w:sz="8" w:space="0" w:color="EC726C" w:themeColor="accent1" w:themeTint="BF"/>
      </w:tblBorders>
    </w:tblPr>
    <w:tblStylePr w:type="firstRow">
      <w:pPr>
        <w:spacing w:before="0" w:after="0" w:line="240" w:lineRule="auto"/>
      </w:pPr>
      <w:rPr>
        <w:b/>
        <w:bCs/>
        <w:color w:val="FFFFFF" w:themeColor="background1"/>
      </w:rPr>
      <w:tblPr/>
      <w:tcPr>
        <w:tcBorders>
          <w:top w:val="single" w:sz="8" w:space="0" w:color="EC726C" w:themeColor="accent1" w:themeTint="BF"/>
          <w:left w:val="single" w:sz="8" w:space="0" w:color="EC726C" w:themeColor="accent1" w:themeTint="BF"/>
          <w:bottom w:val="single" w:sz="8" w:space="0" w:color="EC726C" w:themeColor="accent1" w:themeTint="BF"/>
          <w:right w:val="single" w:sz="8" w:space="0" w:color="EC726C" w:themeColor="accent1" w:themeTint="BF"/>
          <w:insideH w:val="nil"/>
          <w:insideV w:val="nil"/>
        </w:tcBorders>
        <w:shd w:val="clear" w:color="auto" w:fill="E6443C" w:themeFill="accent1"/>
      </w:tcPr>
    </w:tblStylePr>
    <w:tblStylePr w:type="lastRow">
      <w:pPr>
        <w:spacing w:before="0" w:after="0" w:line="240" w:lineRule="auto"/>
      </w:pPr>
      <w:rPr>
        <w:b/>
        <w:bCs/>
      </w:rPr>
      <w:tblPr/>
      <w:tcPr>
        <w:tcBorders>
          <w:top w:val="double" w:sz="6" w:space="0" w:color="EC726C" w:themeColor="accent1" w:themeTint="BF"/>
          <w:left w:val="single" w:sz="8" w:space="0" w:color="EC726C" w:themeColor="accent1" w:themeTint="BF"/>
          <w:bottom w:val="single" w:sz="8" w:space="0" w:color="EC726C" w:themeColor="accent1" w:themeTint="BF"/>
          <w:right w:val="single" w:sz="8" w:space="0" w:color="EC726C" w:themeColor="accent1" w:themeTint="BF"/>
          <w:insideH w:val="nil"/>
          <w:insideV w:val="nil"/>
        </w:tcBorders>
      </w:tcPr>
    </w:tblStylePr>
    <w:tblStylePr w:type="firstCol">
      <w:rPr>
        <w:b/>
        <w:bCs/>
      </w:rPr>
    </w:tblStylePr>
    <w:tblStylePr w:type="lastCol">
      <w:rPr>
        <w:b/>
        <w:bCs/>
      </w:rPr>
    </w:tblStylePr>
    <w:tblStylePr w:type="band1Vert">
      <w:tblPr/>
      <w:tcPr>
        <w:shd w:val="clear" w:color="auto" w:fill="F8D0CE" w:themeFill="accent1" w:themeFillTint="3F"/>
      </w:tcPr>
    </w:tblStylePr>
    <w:tblStylePr w:type="band1Horz">
      <w:tblPr/>
      <w:tcPr>
        <w:tcBorders>
          <w:insideH w:val="nil"/>
          <w:insideV w:val="nil"/>
        </w:tcBorders>
        <w:shd w:val="clear" w:color="auto" w:fill="F8D0CE" w:themeFill="accent1" w:themeFillTint="3F"/>
      </w:tcPr>
    </w:tblStylePr>
    <w:tblStylePr w:type="band2Horz">
      <w:tblPr/>
      <w:tcPr>
        <w:tcBorders>
          <w:insideH w:val="nil"/>
          <w:insideV w:val="nil"/>
        </w:tcBorders>
      </w:tcPr>
    </w:tblStylePr>
  </w:style>
  <w:style w:type="table" w:styleId="Tramemoyenne1-Accent2">
    <w:name w:val="Medium Shading 1 Accent 2"/>
    <w:basedOn w:val="TableauNormal"/>
    <w:uiPriority w:val="63"/>
    <w:semiHidden/>
    <w:unhideWhenUsed/>
    <w:rsid w:val="00924684"/>
    <w:pPr>
      <w:spacing w:after="0" w:line="240" w:lineRule="auto"/>
    </w:pPr>
    <w:tblPr>
      <w:tblStyleRowBandSize w:val="1"/>
      <w:tblStyleColBandSize w:val="1"/>
      <w:tblBorders>
        <w:top w:val="single" w:sz="8" w:space="0" w:color="BC81B3" w:themeColor="accent2" w:themeTint="BF"/>
        <w:left w:val="single" w:sz="8" w:space="0" w:color="BC81B3" w:themeColor="accent2" w:themeTint="BF"/>
        <w:bottom w:val="single" w:sz="8" w:space="0" w:color="BC81B3" w:themeColor="accent2" w:themeTint="BF"/>
        <w:right w:val="single" w:sz="8" w:space="0" w:color="BC81B3" w:themeColor="accent2" w:themeTint="BF"/>
        <w:insideH w:val="single" w:sz="8" w:space="0" w:color="BC81B3" w:themeColor="accent2" w:themeTint="BF"/>
      </w:tblBorders>
    </w:tblPr>
    <w:tblStylePr w:type="firstRow">
      <w:pPr>
        <w:spacing w:before="0" w:after="0" w:line="240" w:lineRule="auto"/>
      </w:pPr>
      <w:rPr>
        <w:b/>
        <w:bCs/>
        <w:color w:val="FFFFFF" w:themeColor="background1"/>
      </w:rPr>
      <w:tblPr/>
      <w:tcPr>
        <w:tcBorders>
          <w:top w:val="single" w:sz="8" w:space="0" w:color="BC81B3" w:themeColor="accent2" w:themeTint="BF"/>
          <w:left w:val="single" w:sz="8" w:space="0" w:color="BC81B3" w:themeColor="accent2" w:themeTint="BF"/>
          <w:bottom w:val="single" w:sz="8" w:space="0" w:color="BC81B3" w:themeColor="accent2" w:themeTint="BF"/>
          <w:right w:val="single" w:sz="8" w:space="0" w:color="BC81B3" w:themeColor="accent2" w:themeTint="BF"/>
          <w:insideH w:val="nil"/>
          <w:insideV w:val="nil"/>
        </w:tcBorders>
        <w:shd w:val="clear" w:color="auto" w:fill="A6589A" w:themeFill="accent2"/>
      </w:tcPr>
    </w:tblStylePr>
    <w:tblStylePr w:type="lastRow">
      <w:pPr>
        <w:spacing w:before="0" w:after="0" w:line="240" w:lineRule="auto"/>
      </w:pPr>
      <w:rPr>
        <w:b/>
        <w:bCs/>
      </w:rPr>
      <w:tblPr/>
      <w:tcPr>
        <w:tcBorders>
          <w:top w:val="double" w:sz="6" w:space="0" w:color="BC81B3" w:themeColor="accent2" w:themeTint="BF"/>
          <w:left w:val="single" w:sz="8" w:space="0" w:color="BC81B3" w:themeColor="accent2" w:themeTint="BF"/>
          <w:bottom w:val="single" w:sz="8" w:space="0" w:color="BC81B3" w:themeColor="accent2" w:themeTint="BF"/>
          <w:right w:val="single" w:sz="8" w:space="0" w:color="BC81B3" w:themeColor="accent2" w:themeTint="BF"/>
          <w:insideH w:val="nil"/>
          <w:insideV w:val="nil"/>
        </w:tcBorders>
      </w:tcPr>
    </w:tblStylePr>
    <w:tblStylePr w:type="firstCol">
      <w:rPr>
        <w:b/>
        <w:bCs/>
      </w:rPr>
    </w:tblStylePr>
    <w:tblStylePr w:type="lastCol">
      <w:rPr>
        <w:b/>
        <w:bCs/>
      </w:rPr>
    </w:tblStylePr>
    <w:tblStylePr w:type="band1Vert">
      <w:tblPr/>
      <w:tcPr>
        <w:shd w:val="clear" w:color="auto" w:fill="E9D5E6" w:themeFill="accent2" w:themeFillTint="3F"/>
      </w:tcPr>
    </w:tblStylePr>
    <w:tblStylePr w:type="band1Horz">
      <w:tblPr/>
      <w:tcPr>
        <w:tcBorders>
          <w:insideH w:val="nil"/>
          <w:insideV w:val="nil"/>
        </w:tcBorders>
        <w:shd w:val="clear" w:color="auto" w:fill="E9D5E6" w:themeFill="accent2" w:themeFillTint="3F"/>
      </w:tcPr>
    </w:tblStylePr>
    <w:tblStylePr w:type="band2Horz">
      <w:tblPr/>
      <w:tcPr>
        <w:tcBorders>
          <w:insideH w:val="nil"/>
          <w:insideV w:val="nil"/>
        </w:tcBorders>
      </w:tcPr>
    </w:tblStylePr>
  </w:style>
  <w:style w:type="table" w:styleId="Tramemoyenne1-Accent3">
    <w:name w:val="Medium Shading 1 Accent 3"/>
    <w:basedOn w:val="TableauNormal"/>
    <w:uiPriority w:val="63"/>
    <w:semiHidden/>
    <w:unhideWhenUsed/>
    <w:rsid w:val="00924684"/>
    <w:pPr>
      <w:spacing w:after="0" w:line="240" w:lineRule="auto"/>
    </w:pPr>
    <w:tblPr>
      <w:tblStyleRowBandSize w:val="1"/>
      <w:tblStyleColBandSize w:val="1"/>
      <w:tblBorders>
        <w:top w:val="single" w:sz="8" w:space="0" w:color="78B1D9" w:themeColor="accent3" w:themeTint="BF"/>
        <w:left w:val="single" w:sz="8" w:space="0" w:color="78B1D9" w:themeColor="accent3" w:themeTint="BF"/>
        <w:bottom w:val="single" w:sz="8" w:space="0" w:color="78B1D9" w:themeColor="accent3" w:themeTint="BF"/>
        <w:right w:val="single" w:sz="8" w:space="0" w:color="78B1D9" w:themeColor="accent3" w:themeTint="BF"/>
        <w:insideH w:val="single" w:sz="8" w:space="0" w:color="78B1D9" w:themeColor="accent3" w:themeTint="BF"/>
      </w:tblBorders>
    </w:tblPr>
    <w:tblStylePr w:type="firstRow">
      <w:pPr>
        <w:spacing w:before="0" w:after="0" w:line="240" w:lineRule="auto"/>
      </w:pPr>
      <w:rPr>
        <w:b/>
        <w:bCs/>
        <w:color w:val="FFFFFF" w:themeColor="background1"/>
      </w:rPr>
      <w:tblPr/>
      <w:tcPr>
        <w:tcBorders>
          <w:top w:val="single" w:sz="8" w:space="0" w:color="78B1D9" w:themeColor="accent3" w:themeTint="BF"/>
          <w:left w:val="single" w:sz="8" w:space="0" w:color="78B1D9" w:themeColor="accent3" w:themeTint="BF"/>
          <w:bottom w:val="single" w:sz="8" w:space="0" w:color="78B1D9" w:themeColor="accent3" w:themeTint="BF"/>
          <w:right w:val="single" w:sz="8" w:space="0" w:color="78B1D9" w:themeColor="accent3" w:themeTint="BF"/>
          <w:insideH w:val="nil"/>
          <w:insideV w:val="nil"/>
        </w:tcBorders>
        <w:shd w:val="clear" w:color="auto" w:fill="4B97CD" w:themeFill="accent3"/>
      </w:tcPr>
    </w:tblStylePr>
    <w:tblStylePr w:type="lastRow">
      <w:pPr>
        <w:spacing w:before="0" w:after="0" w:line="240" w:lineRule="auto"/>
      </w:pPr>
      <w:rPr>
        <w:b/>
        <w:bCs/>
      </w:rPr>
      <w:tblPr/>
      <w:tcPr>
        <w:tcBorders>
          <w:top w:val="double" w:sz="6" w:space="0" w:color="78B1D9" w:themeColor="accent3" w:themeTint="BF"/>
          <w:left w:val="single" w:sz="8" w:space="0" w:color="78B1D9" w:themeColor="accent3" w:themeTint="BF"/>
          <w:bottom w:val="single" w:sz="8" w:space="0" w:color="78B1D9" w:themeColor="accent3" w:themeTint="BF"/>
          <w:right w:val="single" w:sz="8" w:space="0" w:color="78B1D9" w:themeColor="accent3" w:themeTint="BF"/>
          <w:insideH w:val="nil"/>
          <w:insideV w:val="nil"/>
        </w:tcBorders>
      </w:tcPr>
    </w:tblStylePr>
    <w:tblStylePr w:type="firstCol">
      <w:rPr>
        <w:b/>
        <w:bCs/>
      </w:rPr>
    </w:tblStylePr>
    <w:tblStylePr w:type="lastCol">
      <w:rPr>
        <w:b/>
        <w:bCs/>
      </w:rPr>
    </w:tblStylePr>
    <w:tblStylePr w:type="band1Vert">
      <w:tblPr/>
      <w:tcPr>
        <w:shd w:val="clear" w:color="auto" w:fill="D2E5F2" w:themeFill="accent3" w:themeFillTint="3F"/>
      </w:tcPr>
    </w:tblStylePr>
    <w:tblStylePr w:type="band1Horz">
      <w:tblPr/>
      <w:tcPr>
        <w:tcBorders>
          <w:insideH w:val="nil"/>
          <w:insideV w:val="nil"/>
        </w:tcBorders>
        <w:shd w:val="clear" w:color="auto" w:fill="D2E5F2" w:themeFill="accent3" w:themeFillTint="3F"/>
      </w:tcPr>
    </w:tblStylePr>
    <w:tblStylePr w:type="band2Horz">
      <w:tblPr/>
      <w:tcPr>
        <w:tcBorders>
          <w:insideH w:val="nil"/>
          <w:insideV w:val="nil"/>
        </w:tcBorders>
      </w:tcPr>
    </w:tblStylePr>
  </w:style>
  <w:style w:type="table" w:styleId="Tramemoyenne1-Accent4">
    <w:name w:val="Medium Shading 1 Accent 4"/>
    <w:basedOn w:val="TableauNormal"/>
    <w:uiPriority w:val="63"/>
    <w:semiHidden/>
    <w:unhideWhenUsed/>
    <w:rsid w:val="00924684"/>
    <w:pPr>
      <w:spacing w:after="0" w:line="240" w:lineRule="auto"/>
    </w:pPr>
    <w:tblPr>
      <w:tblStyleRowBandSize w:val="1"/>
      <w:tblStyleColBandSize w:val="1"/>
      <w:tblBorders>
        <w:top w:val="single" w:sz="8" w:space="0" w:color="48B6BE" w:themeColor="accent4" w:themeTint="BF"/>
        <w:left w:val="single" w:sz="8" w:space="0" w:color="48B6BE" w:themeColor="accent4" w:themeTint="BF"/>
        <w:bottom w:val="single" w:sz="8" w:space="0" w:color="48B6BE" w:themeColor="accent4" w:themeTint="BF"/>
        <w:right w:val="single" w:sz="8" w:space="0" w:color="48B6BE" w:themeColor="accent4" w:themeTint="BF"/>
        <w:insideH w:val="single" w:sz="8" w:space="0" w:color="48B6BE" w:themeColor="accent4" w:themeTint="BF"/>
      </w:tblBorders>
    </w:tblPr>
    <w:tblStylePr w:type="firstRow">
      <w:pPr>
        <w:spacing w:before="0" w:after="0" w:line="240" w:lineRule="auto"/>
      </w:pPr>
      <w:rPr>
        <w:b/>
        <w:bCs/>
        <w:color w:val="FFFFFF" w:themeColor="background1"/>
      </w:rPr>
      <w:tblPr/>
      <w:tcPr>
        <w:tcBorders>
          <w:top w:val="single" w:sz="8" w:space="0" w:color="48B6BE" w:themeColor="accent4" w:themeTint="BF"/>
          <w:left w:val="single" w:sz="8" w:space="0" w:color="48B6BE" w:themeColor="accent4" w:themeTint="BF"/>
          <w:bottom w:val="single" w:sz="8" w:space="0" w:color="48B6BE" w:themeColor="accent4" w:themeTint="BF"/>
          <w:right w:val="single" w:sz="8" w:space="0" w:color="48B6BE" w:themeColor="accent4" w:themeTint="BF"/>
          <w:insideH w:val="nil"/>
          <w:insideV w:val="nil"/>
        </w:tcBorders>
        <w:shd w:val="clear" w:color="auto" w:fill="2F7F85" w:themeFill="accent4"/>
      </w:tcPr>
    </w:tblStylePr>
    <w:tblStylePr w:type="lastRow">
      <w:pPr>
        <w:spacing w:before="0" w:after="0" w:line="240" w:lineRule="auto"/>
      </w:pPr>
      <w:rPr>
        <w:b/>
        <w:bCs/>
      </w:rPr>
      <w:tblPr/>
      <w:tcPr>
        <w:tcBorders>
          <w:top w:val="double" w:sz="6" w:space="0" w:color="48B6BE" w:themeColor="accent4" w:themeTint="BF"/>
          <w:left w:val="single" w:sz="8" w:space="0" w:color="48B6BE" w:themeColor="accent4" w:themeTint="BF"/>
          <w:bottom w:val="single" w:sz="8" w:space="0" w:color="48B6BE" w:themeColor="accent4" w:themeTint="BF"/>
          <w:right w:val="single" w:sz="8" w:space="0" w:color="48B6BE" w:themeColor="accent4" w:themeTint="BF"/>
          <w:insideH w:val="nil"/>
          <w:insideV w:val="nil"/>
        </w:tcBorders>
      </w:tcPr>
    </w:tblStylePr>
    <w:tblStylePr w:type="firstCol">
      <w:rPr>
        <w:b/>
        <w:bCs/>
      </w:rPr>
    </w:tblStylePr>
    <w:tblStylePr w:type="lastCol">
      <w:rPr>
        <w:b/>
        <w:bCs/>
      </w:rPr>
    </w:tblStylePr>
    <w:tblStylePr w:type="band1Vert">
      <w:tblPr/>
      <w:tcPr>
        <w:shd w:val="clear" w:color="auto" w:fill="C2E7E9" w:themeFill="accent4" w:themeFillTint="3F"/>
      </w:tcPr>
    </w:tblStylePr>
    <w:tblStylePr w:type="band1Horz">
      <w:tblPr/>
      <w:tcPr>
        <w:tcBorders>
          <w:insideH w:val="nil"/>
          <w:insideV w:val="nil"/>
        </w:tcBorders>
        <w:shd w:val="clear" w:color="auto" w:fill="C2E7E9" w:themeFill="accent4" w:themeFillTint="3F"/>
      </w:tcPr>
    </w:tblStylePr>
    <w:tblStylePr w:type="band2Horz">
      <w:tblPr/>
      <w:tcPr>
        <w:tcBorders>
          <w:insideH w:val="nil"/>
          <w:insideV w:val="nil"/>
        </w:tcBorders>
      </w:tcPr>
    </w:tblStylePr>
  </w:style>
  <w:style w:type="table" w:styleId="Tramemoyenne1-Accent5">
    <w:name w:val="Medium Shading 1 Accent 5"/>
    <w:basedOn w:val="TableauNormal"/>
    <w:uiPriority w:val="63"/>
    <w:semiHidden/>
    <w:unhideWhenUsed/>
    <w:rsid w:val="00924684"/>
    <w:pPr>
      <w:spacing w:after="0" w:line="240" w:lineRule="auto"/>
    </w:pPr>
    <w:tblPr>
      <w:tblStyleRowBandSize w:val="1"/>
      <w:tblStyleColBandSize w:val="1"/>
      <w:tblBorders>
        <w:top w:val="single" w:sz="8" w:space="0" w:color="FBCC58" w:themeColor="accent5" w:themeTint="BF"/>
        <w:left w:val="single" w:sz="8" w:space="0" w:color="FBCC58" w:themeColor="accent5" w:themeTint="BF"/>
        <w:bottom w:val="single" w:sz="8" w:space="0" w:color="FBCC58" w:themeColor="accent5" w:themeTint="BF"/>
        <w:right w:val="single" w:sz="8" w:space="0" w:color="FBCC58" w:themeColor="accent5" w:themeTint="BF"/>
        <w:insideH w:val="single" w:sz="8" w:space="0" w:color="FBCC58" w:themeColor="accent5" w:themeTint="BF"/>
      </w:tblBorders>
    </w:tblPr>
    <w:tblStylePr w:type="firstRow">
      <w:pPr>
        <w:spacing w:before="0" w:after="0" w:line="240" w:lineRule="auto"/>
      </w:pPr>
      <w:rPr>
        <w:b/>
        <w:bCs/>
        <w:color w:val="FFFFFF" w:themeColor="background1"/>
      </w:rPr>
      <w:tblPr/>
      <w:tcPr>
        <w:tcBorders>
          <w:top w:val="single" w:sz="8" w:space="0" w:color="FBCC58" w:themeColor="accent5" w:themeTint="BF"/>
          <w:left w:val="single" w:sz="8" w:space="0" w:color="FBCC58" w:themeColor="accent5" w:themeTint="BF"/>
          <w:bottom w:val="single" w:sz="8" w:space="0" w:color="FBCC58" w:themeColor="accent5" w:themeTint="BF"/>
          <w:right w:val="single" w:sz="8" w:space="0" w:color="FBCC58" w:themeColor="accent5" w:themeTint="BF"/>
          <w:insideH w:val="nil"/>
          <w:insideV w:val="nil"/>
        </w:tcBorders>
        <w:shd w:val="clear" w:color="auto" w:fill="FABC21" w:themeFill="accent5"/>
      </w:tcPr>
    </w:tblStylePr>
    <w:tblStylePr w:type="lastRow">
      <w:pPr>
        <w:spacing w:before="0" w:after="0" w:line="240" w:lineRule="auto"/>
      </w:pPr>
      <w:rPr>
        <w:b/>
        <w:bCs/>
      </w:rPr>
      <w:tblPr/>
      <w:tcPr>
        <w:tcBorders>
          <w:top w:val="double" w:sz="6" w:space="0" w:color="FBCC58" w:themeColor="accent5" w:themeTint="BF"/>
          <w:left w:val="single" w:sz="8" w:space="0" w:color="FBCC58" w:themeColor="accent5" w:themeTint="BF"/>
          <w:bottom w:val="single" w:sz="8" w:space="0" w:color="FBCC58" w:themeColor="accent5" w:themeTint="BF"/>
          <w:right w:val="single" w:sz="8" w:space="0" w:color="FBCC58" w:themeColor="accent5" w:themeTint="BF"/>
          <w:insideH w:val="nil"/>
          <w:insideV w:val="nil"/>
        </w:tcBorders>
      </w:tcPr>
    </w:tblStylePr>
    <w:tblStylePr w:type="firstCol">
      <w:rPr>
        <w:b/>
        <w:bCs/>
      </w:rPr>
    </w:tblStylePr>
    <w:tblStylePr w:type="lastCol">
      <w:rPr>
        <w:b/>
        <w:bCs/>
      </w:rPr>
    </w:tblStylePr>
    <w:tblStylePr w:type="band1Vert">
      <w:tblPr/>
      <w:tcPr>
        <w:shd w:val="clear" w:color="auto" w:fill="FDEEC7" w:themeFill="accent5" w:themeFillTint="3F"/>
      </w:tcPr>
    </w:tblStylePr>
    <w:tblStylePr w:type="band1Horz">
      <w:tblPr/>
      <w:tcPr>
        <w:tcBorders>
          <w:insideH w:val="nil"/>
          <w:insideV w:val="nil"/>
        </w:tcBorders>
        <w:shd w:val="clear" w:color="auto" w:fill="FDEEC7" w:themeFill="accent5" w:themeFillTint="3F"/>
      </w:tcPr>
    </w:tblStylePr>
    <w:tblStylePr w:type="band2Horz">
      <w:tblPr/>
      <w:tcPr>
        <w:tcBorders>
          <w:insideH w:val="nil"/>
          <w:insideV w:val="nil"/>
        </w:tcBorders>
      </w:tcPr>
    </w:tblStylePr>
  </w:style>
  <w:style w:type="table" w:styleId="Tramemoyenne1-Accent6">
    <w:name w:val="Medium Shading 1 Accent 6"/>
    <w:basedOn w:val="TableauNormal"/>
    <w:uiPriority w:val="63"/>
    <w:semiHidden/>
    <w:unhideWhenUsed/>
    <w:rsid w:val="00924684"/>
    <w:pPr>
      <w:spacing w:after="0" w:line="240" w:lineRule="auto"/>
    </w:pPr>
    <w:tblPr>
      <w:tblStyleRowBandSize w:val="1"/>
      <w:tblStyleColBandSize w:val="1"/>
      <w:tblBorders>
        <w:top w:val="single" w:sz="8" w:space="0" w:color="E170A9" w:themeColor="accent6" w:themeTint="BF"/>
        <w:left w:val="single" w:sz="8" w:space="0" w:color="E170A9" w:themeColor="accent6" w:themeTint="BF"/>
        <w:bottom w:val="single" w:sz="8" w:space="0" w:color="E170A9" w:themeColor="accent6" w:themeTint="BF"/>
        <w:right w:val="single" w:sz="8" w:space="0" w:color="E170A9" w:themeColor="accent6" w:themeTint="BF"/>
        <w:insideH w:val="single" w:sz="8" w:space="0" w:color="E170A9" w:themeColor="accent6" w:themeTint="BF"/>
      </w:tblBorders>
    </w:tblPr>
    <w:tblStylePr w:type="firstRow">
      <w:pPr>
        <w:spacing w:before="0" w:after="0" w:line="240" w:lineRule="auto"/>
      </w:pPr>
      <w:rPr>
        <w:b/>
        <w:bCs/>
        <w:color w:val="FFFFFF" w:themeColor="background1"/>
      </w:rPr>
      <w:tblPr/>
      <w:tcPr>
        <w:tcBorders>
          <w:top w:val="single" w:sz="8" w:space="0" w:color="E170A9" w:themeColor="accent6" w:themeTint="BF"/>
          <w:left w:val="single" w:sz="8" w:space="0" w:color="E170A9" w:themeColor="accent6" w:themeTint="BF"/>
          <w:bottom w:val="single" w:sz="8" w:space="0" w:color="E170A9" w:themeColor="accent6" w:themeTint="BF"/>
          <w:right w:val="single" w:sz="8" w:space="0" w:color="E170A9" w:themeColor="accent6" w:themeTint="BF"/>
          <w:insideH w:val="nil"/>
          <w:insideV w:val="nil"/>
        </w:tcBorders>
        <w:shd w:val="clear" w:color="auto" w:fill="D7418D" w:themeFill="accent6"/>
      </w:tcPr>
    </w:tblStylePr>
    <w:tblStylePr w:type="lastRow">
      <w:pPr>
        <w:spacing w:before="0" w:after="0" w:line="240" w:lineRule="auto"/>
      </w:pPr>
      <w:rPr>
        <w:b/>
        <w:bCs/>
      </w:rPr>
      <w:tblPr/>
      <w:tcPr>
        <w:tcBorders>
          <w:top w:val="double" w:sz="6" w:space="0" w:color="E170A9" w:themeColor="accent6" w:themeTint="BF"/>
          <w:left w:val="single" w:sz="8" w:space="0" w:color="E170A9" w:themeColor="accent6" w:themeTint="BF"/>
          <w:bottom w:val="single" w:sz="8" w:space="0" w:color="E170A9" w:themeColor="accent6" w:themeTint="BF"/>
          <w:right w:val="single" w:sz="8" w:space="0" w:color="E170A9" w:themeColor="accent6" w:themeTint="BF"/>
          <w:insideH w:val="nil"/>
          <w:insideV w:val="nil"/>
        </w:tcBorders>
      </w:tcPr>
    </w:tblStylePr>
    <w:tblStylePr w:type="firstCol">
      <w:rPr>
        <w:b/>
        <w:bCs/>
      </w:rPr>
    </w:tblStylePr>
    <w:tblStylePr w:type="lastCol">
      <w:rPr>
        <w:b/>
        <w:bCs/>
      </w:rPr>
    </w:tblStylePr>
    <w:tblStylePr w:type="band1Vert">
      <w:tblPr/>
      <w:tcPr>
        <w:shd w:val="clear" w:color="auto" w:fill="F5CFE2" w:themeFill="accent6" w:themeFillTint="3F"/>
      </w:tcPr>
    </w:tblStylePr>
    <w:tblStylePr w:type="band1Horz">
      <w:tblPr/>
      <w:tcPr>
        <w:tcBorders>
          <w:insideH w:val="nil"/>
          <w:insideV w:val="nil"/>
        </w:tcBorders>
        <w:shd w:val="clear" w:color="auto" w:fill="F5CFE2" w:themeFill="accent6" w:themeFillTint="3F"/>
      </w:tcPr>
    </w:tblStylePr>
    <w:tblStylePr w:type="band2Horz">
      <w:tblPr/>
      <w:tcPr>
        <w:tcBorders>
          <w:insideH w:val="nil"/>
          <w:insideV w:val="nil"/>
        </w:tcBorders>
      </w:tcPr>
    </w:tblStylePr>
  </w:style>
  <w:style w:type="table" w:styleId="Tramemoyenne2">
    <w:name w:val="Medium Shading 2"/>
    <w:basedOn w:val="TableauNormal"/>
    <w:uiPriority w:val="64"/>
    <w:semiHidden/>
    <w:unhideWhenUsed/>
    <w:rsid w:val="0092468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1">
    <w:name w:val="Medium Shading 2 Accent 1"/>
    <w:basedOn w:val="TableauNormal"/>
    <w:uiPriority w:val="64"/>
    <w:rsid w:val="0092468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6443C"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6443C" w:themeFill="accent1"/>
      </w:tcPr>
    </w:tblStylePr>
    <w:tblStylePr w:type="lastCol">
      <w:rPr>
        <w:b/>
        <w:bCs/>
        <w:color w:val="FFFFFF" w:themeColor="background1"/>
      </w:rPr>
      <w:tblPr/>
      <w:tcPr>
        <w:tcBorders>
          <w:left w:val="nil"/>
          <w:right w:val="nil"/>
          <w:insideH w:val="nil"/>
          <w:insideV w:val="nil"/>
        </w:tcBorders>
        <w:shd w:val="clear" w:color="auto" w:fill="E6443C"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2">
    <w:name w:val="Medium Shading 2 Accent 2"/>
    <w:basedOn w:val="TableauNormal"/>
    <w:uiPriority w:val="64"/>
    <w:semiHidden/>
    <w:unhideWhenUsed/>
    <w:rsid w:val="0092468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6589A"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6589A" w:themeFill="accent2"/>
      </w:tcPr>
    </w:tblStylePr>
    <w:tblStylePr w:type="lastCol">
      <w:rPr>
        <w:b/>
        <w:bCs/>
        <w:color w:val="FFFFFF" w:themeColor="background1"/>
      </w:rPr>
      <w:tblPr/>
      <w:tcPr>
        <w:tcBorders>
          <w:left w:val="nil"/>
          <w:right w:val="nil"/>
          <w:insideH w:val="nil"/>
          <w:insideV w:val="nil"/>
        </w:tcBorders>
        <w:shd w:val="clear" w:color="auto" w:fill="A6589A"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3">
    <w:name w:val="Medium Shading 2 Accent 3"/>
    <w:basedOn w:val="TableauNormal"/>
    <w:uiPriority w:val="64"/>
    <w:semiHidden/>
    <w:unhideWhenUsed/>
    <w:rsid w:val="0092468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97CD"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97CD" w:themeFill="accent3"/>
      </w:tcPr>
    </w:tblStylePr>
    <w:tblStylePr w:type="lastCol">
      <w:rPr>
        <w:b/>
        <w:bCs/>
        <w:color w:val="FFFFFF" w:themeColor="background1"/>
      </w:rPr>
      <w:tblPr/>
      <w:tcPr>
        <w:tcBorders>
          <w:left w:val="nil"/>
          <w:right w:val="nil"/>
          <w:insideH w:val="nil"/>
          <w:insideV w:val="nil"/>
        </w:tcBorders>
        <w:shd w:val="clear" w:color="auto" w:fill="4B97CD"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4">
    <w:name w:val="Medium Shading 2 Accent 4"/>
    <w:basedOn w:val="TableauNormal"/>
    <w:uiPriority w:val="64"/>
    <w:semiHidden/>
    <w:unhideWhenUsed/>
    <w:rsid w:val="0092468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F7F8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2F7F85" w:themeFill="accent4"/>
      </w:tcPr>
    </w:tblStylePr>
    <w:tblStylePr w:type="lastCol">
      <w:rPr>
        <w:b/>
        <w:bCs/>
        <w:color w:val="FFFFFF" w:themeColor="background1"/>
      </w:rPr>
      <w:tblPr/>
      <w:tcPr>
        <w:tcBorders>
          <w:left w:val="nil"/>
          <w:right w:val="nil"/>
          <w:insideH w:val="nil"/>
          <w:insideV w:val="nil"/>
        </w:tcBorders>
        <w:shd w:val="clear" w:color="auto" w:fill="2F7F8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5">
    <w:name w:val="Medium Shading 2 Accent 5"/>
    <w:basedOn w:val="TableauNormal"/>
    <w:uiPriority w:val="64"/>
    <w:semiHidden/>
    <w:unhideWhenUsed/>
    <w:rsid w:val="0092468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ABC21"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ABC21" w:themeFill="accent5"/>
      </w:tcPr>
    </w:tblStylePr>
    <w:tblStylePr w:type="lastCol">
      <w:rPr>
        <w:b/>
        <w:bCs/>
        <w:color w:val="FFFFFF" w:themeColor="background1"/>
      </w:rPr>
      <w:tblPr/>
      <w:tcPr>
        <w:tcBorders>
          <w:left w:val="nil"/>
          <w:right w:val="nil"/>
          <w:insideH w:val="nil"/>
          <w:insideV w:val="nil"/>
        </w:tcBorders>
        <w:shd w:val="clear" w:color="auto" w:fill="FABC21"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Tramemoyenne2-Accent6">
    <w:name w:val="Medium Shading 2 Accent 6"/>
    <w:basedOn w:val="TableauNormal"/>
    <w:uiPriority w:val="64"/>
    <w:semiHidden/>
    <w:unhideWhenUsed/>
    <w:rsid w:val="0092468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D7418D"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D7418D" w:themeFill="accent6"/>
      </w:tcPr>
    </w:tblStylePr>
    <w:tblStylePr w:type="lastCol">
      <w:rPr>
        <w:b/>
        <w:bCs/>
        <w:color w:val="FFFFFF" w:themeColor="background1"/>
      </w:rPr>
      <w:tblPr/>
      <w:tcPr>
        <w:tcBorders>
          <w:left w:val="nil"/>
          <w:right w:val="nil"/>
          <w:insideH w:val="nil"/>
          <w:insideV w:val="nil"/>
        </w:tcBorders>
        <w:shd w:val="clear" w:color="auto" w:fill="D7418D"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Mention">
    <w:name w:val="Mention"/>
    <w:basedOn w:val="Policepardfaut"/>
    <w:uiPriority w:val="99"/>
    <w:semiHidden/>
    <w:rsid w:val="00924684"/>
    <w:rPr>
      <w:color w:val="2B579A"/>
      <w:shd w:val="clear" w:color="auto" w:fill="E1DFDD"/>
    </w:rPr>
  </w:style>
  <w:style w:type="paragraph" w:styleId="En-ttedemessage">
    <w:name w:val="Message Header"/>
    <w:basedOn w:val="Normal"/>
    <w:link w:val="En-ttedemessageCar"/>
    <w:uiPriority w:val="49"/>
    <w:semiHidden/>
    <w:rsid w:val="00924684"/>
    <w:pPr>
      <w:pBdr>
        <w:top w:val="single" w:sz="6" w:space="1" w:color="auto"/>
        <w:left w:val="single" w:sz="6" w:space="1" w:color="auto"/>
        <w:bottom w:val="single" w:sz="6" w:space="1" w:color="auto"/>
        <w:right w:val="single" w:sz="6" w:space="1" w:color="auto"/>
      </w:pBdr>
      <w:shd w:val="pct20" w:color="auto" w:fill="auto"/>
      <w:spacing w:before="0" w:after="0"/>
      <w:ind w:left="1134" w:hanging="1134"/>
    </w:pPr>
    <w:rPr>
      <w:rFonts w:asciiTheme="majorHAnsi" w:eastAsiaTheme="majorEastAsia" w:hAnsiTheme="majorHAnsi" w:cstheme="majorBidi"/>
      <w:szCs w:val="24"/>
    </w:rPr>
  </w:style>
  <w:style w:type="character" w:customStyle="1" w:styleId="En-ttedemessageCar">
    <w:name w:val="En-tête de message Car"/>
    <w:basedOn w:val="Policepardfaut"/>
    <w:link w:val="En-ttedemessage"/>
    <w:uiPriority w:val="49"/>
    <w:semiHidden/>
    <w:rsid w:val="00330600"/>
    <w:rPr>
      <w:rFonts w:asciiTheme="majorHAnsi" w:eastAsiaTheme="majorEastAsia" w:hAnsiTheme="majorHAnsi" w:cstheme="majorBidi"/>
      <w:sz w:val="24"/>
      <w:szCs w:val="24"/>
      <w:shd w:val="pct20" w:color="auto" w:fill="auto"/>
    </w:rPr>
  </w:style>
  <w:style w:type="paragraph" w:styleId="Sansinterligne">
    <w:name w:val="No Spacing"/>
    <w:semiHidden/>
    <w:qFormat/>
    <w:rsid w:val="00924684"/>
    <w:pPr>
      <w:spacing w:after="0" w:line="240" w:lineRule="auto"/>
      <w:ind w:firstLine="709"/>
      <w:jc w:val="both"/>
    </w:pPr>
  </w:style>
  <w:style w:type="paragraph" w:styleId="NormalWeb">
    <w:name w:val="Normal (Web)"/>
    <w:basedOn w:val="Normal"/>
    <w:uiPriority w:val="99"/>
    <w:semiHidden/>
    <w:rsid w:val="00924684"/>
    <w:rPr>
      <w:rFonts w:cs="Times New Roman"/>
      <w:szCs w:val="24"/>
    </w:rPr>
  </w:style>
  <w:style w:type="paragraph" w:styleId="Retraitnormal">
    <w:name w:val="Normal Indent"/>
    <w:basedOn w:val="Normal"/>
    <w:semiHidden/>
    <w:rsid w:val="00924684"/>
    <w:pPr>
      <w:ind w:left="720"/>
    </w:pPr>
  </w:style>
  <w:style w:type="paragraph" w:styleId="Titredenote">
    <w:name w:val="Note Heading"/>
    <w:basedOn w:val="Normal"/>
    <w:next w:val="Normal"/>
    <w:link w:val="TitredenoteCar"/>
    <w:uiPriority w:val="29"/>
    <w:semiHidden/>
    <w:rsid w:val="00924684"/>
    <w:pPr>
      <w:spacing w:before="0" w:after="0"/>
    </w:pPr>
  </w:style>
  <w:style w:type="character" w:customStyle="1" w:styleId="TitredenoteCar">
    <w:name w:val="Titre de note Car"/>
    <w:basedOn w:val="Policepardfaut"/>
    <w:link w:val="Titredenote"/>
    <w:uiPriority w:val="29"/>
    <w:semiHidden/>
    <w:rsid w:val="00330600"/>
  </w:style>
  <w:style w:type="table" w:styleId="Tableausimple1">
    <w:name w:val="Plain Table 1"/>
    <w:basedOn w:val="TableauNormal"/>
    <w:uiPriority w:val="41"/>
    <w:rsid w:val="0092468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simple2">
    <w:name w:val="Plain Table 2"/>
    <w:basedOn w:val="TableauNormal"/>
    <w:uiPriority w:val="42"/>
    <w:rsid w:val="0092468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ausimple3">
    <w:name w:val="Plain Table 3"/>
    <w:basedOn w:val="TableauNormal"/>
    <w:uiPriority w:val="43"/>
    <w:rsid w:val="00924684"/>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ausimple4">
    <w:name w:val="Plain Table 4"/>
    <w:basedOn w:val="TableauNormal"/>
    <w:uiPriority w:val="44"/>
    <w:rsid w:val="0092468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simple5">
    <w:name w:val="Plain Table 5"/>
    <w:basedOn w:val="TableauNormal"/>
    <w:uiPriority w:val="45"/>
    <w:rsid w:val="00924684"/>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xtebrut">
    <w:name w:val="Plain Text"/>
    <w:basedOn w:val="Normal"/>
    <w:link w:val="TextebrutCar"/>
    <w:uiPriority w:val="49"/>
    <w:semiHidden/>
    <w:rsid w:val="00924684"/>
    <w:pPr>
      <w:spacing w:before="0" w:after="0"/>
    </w:pPr>
    <w:rPr>
      <w:rFonts w:cs="Times New Roman"/>
      <w:sz w:val="21"/>
      <w:szCs w:val="21"/>
    </w:rPr>
  </w:style>
  <w:style w:type="character" w:customStyle="1" w:styleId="TextebrutCar">
    <w:name w:val="Texte brut Car"/>
    <w:basedOn w:val="Policepardfaut"/>
    <w:link w:val="Textebrut"/>
    <w:uiPriority w:val="49"/>
    <w:semiHidden/>
    <w:rsid w:val="00330600"/>
    <w:rPr>
      <w:rFonts w:cs="Times New Roman"/>
      <w:sz w:val="21"/>
      <w:szCs w:val="21"/>
    </w:rPr>
  </w:style>
  <w:style w:type="paragraph" w:styleId="Citation">
    <w:name w:val="Quote"/>
    <w:basedOn w:val="Normal"/>
    <w:next w:val="Normal"/>
    <w:link w:val="CitationCar"/>
    <w:uiPriority w:val="49"/>
    <w:semiHidden/>
    <w:qFormat/>
    <w:rsid w:val="00924684"/>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49"/>
    <w:semiHidden/>
    <w:rsid w:val="00330600"/>
    <w:rPr>
      <w:i/>
      <w:iCs/>
      <w:color w:val="404040" w:themeColor="text1" w:themeTint="BF"/>
    </w:rPr>
  </w:style>
  <w:style w:type="paragraph" w:styleId="Salutations">
    <w:name w:val="Salutation"/>
    <w:basedOn w:val="Normal"/>
    <w:next w:val="Normal"/>
    <w:link w:val="SalutationsCar"/>
    <w:uiPriority w:val="49"/>
    <w:semiHidden/>
    <w:rsid w:val="00924684"/>
  </w:style>
  <w:style w:type="character" w:customStyle="1" w:styleId="SalutationsCar">
    <w:name w:val="Salutations Car"/>
    <w:basedOn w:val="Policepardfaut"/>
    <w:link w:val="Salutations"/>
    <w:uiPriority w:val="49"/>
    <w:semiHidden/>
    <w:rsid w:val="00330600"/>
  </w:style>
  <w:style w:type="paragraph" w:styleId="Signature">
    <w:name w:val="Signature"/>
    <w:basedOn w:val="Normal"/>
    <w:link w:val="SignatureCar"/>
    <w:uiPriority w:val="49"/>
    <w:semiHidden/>
    <w:rsid w:val="00924684"/>
    <w:pPr>
      <w:spacing w:before="0" w:after="0"/>
      <w:ind w:left="4252"/>
    </w:pPr>
  </w:style>
  <w:style w:type="character" w:customStyle="1" w:styleId="SignatureCar">
    <w:name w:val="Signature Car"/>
    <w:basedOn w:val="Policepardfaut"/>
    <w:link w:val="Signature"/>
    <w:uiPriority w:val="49"/>
    <w:semiHidden/>
    <w:rsid w:val="00330600"/>
  </w:style>
  <w:style w:type="character" w:styleId="Lienhypertexteactif">
    <w:name w:val="Smart Hyperlink"/>
    <w:basedOn w:val="Policepardfaut"/>
    <w:uiPriority w:val="99"/>
    <w:semiHidden/>
    <w:rsid w:val="00924684"/>
    <w:rPr>
      <w:u w:val="dotted"/>
    </w:rPr>
  </w:style>
  <w:style w:type="character" w:customStyle="1" w:styleId="SmartLink1">
    <w:name w:val="SmartLink1"/>
    <w:basedOn w:val="Policepardfaut"/>
    <w:uiPriority w:val="99"/>
    <w:semiHidden/>
    <w:rsid w:val="00924684"/>
    <w:rPr>
      <w:color w:val="0000FF"/>
      <w:u w:val="single"/>
      <w:shd w:val="clear" w:color="auto" w:fill="F3F2F1"/>
    </w:rPr>
  </w:style>
  <w:style w:type="character" w:styleId="Accentuationlgre">
    <w:name w:val="Subtle Emphasis"/>
    <w:basedOn w:val="Policepardfaut"/>
    <w:uiPriority w:val="49"/>
    <w:semiHidden/>
    <w:qFormat/>
    <w:rsid w:val="00924684"/>
    <w:rPr>
      <w:i/>
      <w:iCs/>
      <w:color w:val="404040" w:themeColor="text1" w:themeTint="BF"/>
    </w:rPr>
  </w:style>
  <w:style w:type="character" w:styleId="Rfrencelgre">
    <w:name w:val="Subtle Reference"/>
    <w:basedOn w:val="Policepardfaut"/>
    <w:uiPriority w:val="49"/>
    <w:semiHidden/>
    <w:qFormat/>
    <w:rsid w:val="00924684"/>
    <w:rPr>
      <w:smallCaps/>
      <w:color w:val="5A5A5A" w:themeColor="text1" w:themeTint="A5"/>
    </w:rPr>
  </w:style>
  <w:style w:type="table" w:styleId="Effetsdetableau3D1">
    <w:name w:val="Table 3D effects 1"/>
    <w:basedOn w:val="TableauNormal"/>
    <w:uiPriority w:val="99"/>
    <w:semiHidden/>
    <w:unhideWhenUsed/>
    <w:rsid w:val="00924684"/>
    <w:pPr>
      <w:spacing w:before="120" w:after="120" w:line="240" w:lineRule="auto"/>
      <w:ind w:firstLine="709"/>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2">
    <w:name w:val="Table 3D effects 2"/>
    <w:basedOn w:val="TableauNormal"/>
    <w:uiPriority w:val="99"/>
    <w:semiHidden/>
    <w:unhideWhenUsed/>
    <w:rsid w:val="00924684"/>
    <w:pPr>
      <w:spacing w:before="120" w:after="120" w:line="240" w:lineRule="auto"/>
      <w:ind w:firstLine="709"/>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3">
    <w:name w:val="Table 3D effects 3"/>
    <w:basedOn w:val="TableauNormal"/>
    <w:uiPriority w:val="99"/>
    <w:semiHidden/>
    <w:unhideWhenUsed/>
    <w:rsid w:val="00924684"/>
    <w:pPr>
      <w:spacing w:before="120" w:after="120" w:line="240" w:lineRule="auto"/>
      <w:ind w:firstLine="709"/>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924684"/>
    <w:pPr>
      <w:spacing w:before="120" w:after="120" w:line="240" w:lineRule="auto"/>
      <w:ind w:firstLine="709"/>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uiPriority w:val="99"/>
    <w:semiHidden/>
    <w:unhideWhenUsed/>
    <w:rsid w:val="00924684"/>
    <w:pPr>
      <w:spacing w:before="120" w:after="120" w:line="240" w:lineRule="auto"/>
      <w:ind w:firstLine="709"/>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uiPriority w:val="99"/>
    <w:semiHidden/>
    <w:unhideWhenUsed/>
    <w:rsid w:val="00924684"/>
    <w:pPr>
      <w:spacing w:before="120" w:after="120" w:line="24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uiPriority w:val="99"/>
    <w:semiHidden/>
    <w:unhideWhenUsed/>
    <w:rsid w:val="00924684"/>
    <w:pPr>
      <w:spacing w:before="120" w:after="120" w:line="240" w:lineRule="auto"/>
      <w:ind w:firstLine="709"/>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aucolor1">
    <w:name w:val="Table Colorful 1"/>
    <w:basedOn w:val="TableauNormal"/>
    <w:uiPriority w:val="99"/>
    <w:semiHidden/>
    <w:unhideWhenUsed/>
    <w:rsid w:val="00924684"/>
    <w:pPr>
      <w:spacing w:before="120" w:after="120" w:line="24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uiPriority w:val="99"/>
    <w:semiHidden/>
    <w:unhideWhenUsed/>
    <w:rsid w:val="00924684"/>
    <w:pPr>
      <w:spacing w:before="120" w:after="120" w:line="240" w:lineRule="auto"/>
      <w:ind w:firstLine="709"/>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uiPriority w:val="99"/>
    <w:semiHidden/>
    <w:unhideWhenUsed/>
    <w:rsid w:val="00924684"/>
    <w:pPr>
      <w:spacing w:before="120" w:after="120" w:line="24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Colonnesdetableau1">
    <w:name w:val="Table Columns 1"/>
    <w:basedOn w:val="TableauNormal"/>
    <w:uiPriority w:val="99"/>
    <w:semiHidden/>
    <w:unhideWhenUsed/>
    <w:rsid w:val="00924684"/>
    <w:pPr>
      <w:spacing w:before="120" w:after="120" w:line="24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uiPriority w:val="99"/>
    <w:semiHidden/>
    <w:unhideWhenUsed/>
    <w:rsid w:val="00924684"/>
    <w:pPr>
      <w:spacing w:before="120" w:after="120" w:line="240" w:lineRule="auto"/>
      <w:ind w:firstLine="709"/>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uiPriority w:val="99"/>
    <w:semiHidden/>
    <w:unhideWhenUsed/>
    <w:rsid w:val="00924684"/>
    <w:pPr>
      <w:spacing w:before="120" w:after="120" w:line="24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uiPriority w:val="99"/>
    <w:semiHidden/>
    <w:unhideWhenUsed/>
    <w:rsid w:val="00924684"/>
    <w:pPr>
      <w:spacing w:before="120" w:after="120" w:line="240" w:lineRule="auto"/>
      <w:ind w:firstLine="709"/>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uiPriority w:val="99"/>
    <w:semiHidden/>
    <w:unhideWhenUsed/>
    <w:rsid w:val="00924684"/>
    <w:pPr>
      <w:spacing w:before="120" w:after="120" w:line="24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ntemporain">
    <w:name w:val="Table Contemporary"/>
    <w:basedOn w:val="TableauNormal"/>
    <w:uiPriority w:val="99"/>
    <w:semiHidden/>
    <w:unhideWhenUsed/>
    <w:rsid w:val="00924684"/>
    <w:pPr>
      <w:spacing w:before="120" w:after="120" w:line="240" w:lineRule="auto"/>
      <w:ind w:firstLine="709"/>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aulgant">
    <w:name w:val="Table Elegant"/>
    <w:basedOn w:val="TableauNormal"/>
    <w:uiPriority w:val="99"/>
    <w:semiHidden/>
    <w:unhideWhenUsed/>
    <w:rsid w:val="00924684"/>
    <w:pPr>
      <w:spacing w:before="120" w:after="120" w:line="24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Grilledetableau1">
    <w:name w:val="Table Grid 1"/>
    <w:basedOn w:val="TableauNormal"/>
    <w:uiPriority w:val="99"/>
    <w:semiHidden/>
    <w:unhideWhenUsed/>
    <w:rsid w:val="00924684"/>
    <w:pPr>
      <w:spacing w:before="120" w:after="120" w:line="24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uiPriority w:val="99"/>
    <w:semiHidden/>
    <w:unhideWhenUsed/>
    <w:rsid w:val="00924684"/>
    <w:pPr>
      <w:spacing w:before="120" w:after="120" w:line="240" w:lineRule="auto"/>
      <w:ind w:firstLine="709"/>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uiPriority w:val="99"/>
    <w:semiHidden/>
    <w:unhideWhenUsed/>
    <w:rsid w:val="00924684"/>
    <w:pPr>
      <w:spacing w:before="120" w:after="120" w:line="24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uiPriority w:val="99"/>
    <w:semiHidden/>
    <w:unhideWhenUsed/>
    <w:rsid w:val="00924684"/>
    <w:pPr>
      <w:spacing w:before="120" w:after="120" w:line="240" w:lineRule="auto"/>
      <w:ind w:firstLine="709"/>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uiPriority w:val="99"/>
    <w:semiHidden/>
    <w:unhideWhenUsed/>
    <w:rsid w:val="00924684"/>
    <w:pPr>
      <w:spacing w:before="120" w:after="120" w:line="24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uiPriority w:val="99"/>
    <w:semiHidden/>
    <w:unhideWhenUsed/>
    <w:rsid w:val="00924684"/>
    <w:pPr>
      <w:spacing w:before="120" w:after="120" w:line="24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uiPriority w:val="99"/>
    <w:semiHidden/>
    <w:unhideWhenUsed/>
    <w:rsid w:val="00924684"/>
    <w:pPr>
      <w:spacing w:before="120" w:after="120" w:line="24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uiPriority w:val="99"/>
    <w:semiHidden/>
    <w:unhideWhenUsed/>
    <w:rsid w:val="00924684"/>
    <w:pPr>
      <w:spacing w:before="120" w:after="120" w:line="24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etableauclaire">
    <w:name w:val="Grid Table Light"/>
    <w:basedOn w:val="TableauNormal"/>
    <w:uiPriority w:val="40"/>
    <w:rsid w:val="0092468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liste1">
    <w:name w:val="Table List 1"/>
    <w:basedOn w:val="TableauNormal"/>
    <w:uiPriority w:val="99"/>
    <w:semiHidden/>
    <w:unhideWhenUsed/>
    <w:rsid w:val="00924684"/>
    <w:pPr>
      <w:spacing w:before="120" w:after="120" w:line="24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0">
    <w:name w:val="Table List 2"/>
    <w:basedOn w:val="TableauNormal"/>
    <w:uiPriority w:val="99"/>
    <w:semiHidden/>
    <w:unhideWhenUsed/>
    <w:rsid w:val="00924684"/>
    <w:pPr>
      <w:spacing w:before="120" w:after="120" w:line="240" w:lineRule="auto"/>
      <w:ind w:firstLine="709"/>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0">
    <w:name w:val="Table List 3"/>
    <w:basedOn w:val="TableauNormal"/>
    <w:uiPriority w:val="99"/>
    <w:semiHidden/>
    <w:unhideWhenUsed/>
    <w:rsid w:val="00924684"/>
    <w:pPr>
      <w:spacing w:before="120" w:after="120" w:line="240" w:lineRule="auto"/>
      <w:ind w:firstLine="709"/>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0">
    <w:name w:val="Table List 4"/>
    <w:basedOn w:val="TableauNormal"/>
    <w:uiPriority w:val="99"/>
    <w:semiHidden/>
    <w:unhideWhenUsed/>
    <w:rsid w:val="00924684"/>
    <w:pPr>
      <w:spacing w:before="120" w:after="120" w:line="24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uiPriority w:val="99"/>
    <w:semiHidden/>
    <w:unhideWhenUsed/>
    <w:rsid w:val="00924684"/>
    <w:pPr>
      <w:spacing w:before="120" w:after="120" w:line="24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uiPriority w:val="99"/>
    <w:semiHidden/>
    <w:unhideWhenUsed/>
    <w:rsid w:val="00924684"/>
    <w:pPr>
      <w:spacing w:before="120" w:after="120" w:line="24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uiPriority w:val="99"/>
    <w:semiHidden/>
    <w:unhideWhenUsed/>
    <w:rsid w:val="00924684"/>
    <w:pPr>
      <w:spacing w:before="120" w:after="120" w:line="24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uiPriority w:val="99"/>
    <w:semiHidden/>
    <w:unhideWhenUsed/>
    <w:rsid w:val="00924684"/>
    <w:pPr>
      <w:spacing w:before="120" w:after="120" w:line="24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desrfrencesjuridiques">
    <w:name w:val="table of authorities"/>
    <w:basedOn w:val="Normal"/>
    <w:next w:val="Normal"/>
    <w:uiPriority w:val="49"/>
    <w:semiHidden/>
    <w:rsid w:val="00924684"/>
    <w:pPr>
      <w:spacing w:after="0"/>
      <w:ind w:left="220" w:hanging="220"/>
    </w:pPr>
  </w:style>
  <w:style w:type="paragraph" w:styleId="Tabledesillustrations">
    <w:name w:val="table of figures"/>
    <w:basedOn w:val="Normal"/>
    <w:next w:val="Normal"/>
    <w:uiPriority w:val="49"/>
    <w:semiHidden/>
    <w:rsid w:val="00924684"/>
    <w:pPr>
      <w:spacing w:after="0"/>
    </w:pPr>
  </w:style>
  <w:style w:type="table" w:styleId="Tableauprofessionnel">
    <w:name w:val="Table Professional"/>
    <w:basedOn w:val="TableauNormal"/>
    <w:uiPriority w:val="99"/>
    <w:semiHidden/>
    <w:unhideWhenUsed/>
    <w:rsid w:val="00924684"/>
    <w:pPr>
      <w:spacing w:before="120" w:after="120" w:line="24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ausimple10">
    <w:name w:val="Table Simple 1"/>
    <w:basedOn w:val="TableauNormal"/>
    <w:uiPriority w:val="99"/>
    <w:semiHidden/>
    <w:unhideWhenUsed/>
    <w:rsid w:val="00924684"/>
    <w:pPr>
      <w:spacing w:before="120" w:after="120" w:line="240" w:lineRule="auto"/>
      <w:ind w:firstLine="709"/>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0">
    <w:name w:val="Table Simple 2"/>
    <w:basedOn w:val="TableauNormal"/>
    <w:uiPriority w:val="99"/>
    <w:semiHidden/>
    <w:unhideWhenUsed/>
    <w:rsid w:val="00924684"/>
    <w:pPr>
      <w:spacing w:before="120" w:after="120" w:line="240" w:lineRule="auto"/>
      <w:ind w:firstLine="709"/>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0">
    <w:name w:val="Table Simple 3"/>
    <w:basedOn w:val="TableauNormal"/>
    <w:uiPriority w:val="99"/>
    <w:semiHidden/>
    <w:unhideWhenUsed/>
    <w:rsid w:val="00924684"/>
    <w:pPr>
      <w:spacing w:before="120" w:after="120" w:line="240" w:lineRule="auto"/>
      <w:ind w:firstLine="709"/>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auple1">
    <w:name w:val="Table Subtle 1"/>
    <w:basedOn w:val="TableauNormal"/>
    <w:uiPriority w:val="99"/>
    <w:rsid w:val="00924684"/>
    <w:pPr>
      <w:spacing w:before="120" w:after="120" w:line="240" w:lineRule="auto"/>
      <w:ind w:firstLine="709"/>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uiPriority w:val="99"/>
    <w:semiHidden/>
    <w:unhideWhenUsed/>
    <w:rsid w:val="00924684"/>
    <w:pPr>
      <w:spacing w:before="120" w:after="120" w:line="240" w:lineRule="auto"/>
      <w:ind w:firstLine="709"/>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hmedutableau">
    <w:name w:val="Table Theme"/>
    <w:basedOn w:val="TableauNormal"/>
    <w:uiPriority w:val="99"/>
    <w:semiHidden/>
    <w:unhideWhenUsed/>
    <w:rsid w:val="00924684"/>
    <w:pPr>
      <w:spacing w:before="120" w:after="120" w:line="24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web1">
    <w:name w:val="Table Web 1"/>
    <w:basedOn w:val="TableauNormal"/>
    <w:uiPriority w:val="99"/>
    <w:semiHidden/>
    <w:unhideWhenUsed/>
    <w:rsid w:val="00924684"/>
    <w:pPr>
      <w:spacing w:before="120" w:after="120" w:line="24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uiPriority w:val="99"/>
    <w:rsid w:val="00924684"/>
    <w:pPr>
      <w:spacing w:before="120" w:after="120" w:line="24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uiPriority w:val="99"/>
    <w:rsid w:val="00924684"/>
    <w:pPr>
      <w:spacing w:before="120" w:after="120" w:line="24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reTR">
    <w:name w:val="toa heading"/>
    <w:basedOn w:val="Normal"/>
    <w:next w:val="Normal"/>
    <w:uiPriority w:val="39"/>
    <w:semiHidden/>
    <w:rsid w:val="00330600"/>
    <w:pPr>
      <w:pageBreakBefore/>
      <w:spacing w:before="0" w:after="700"/>
      <w:jc w:val="center"/>
    </w:pPr>
    <w:rPr>
      <w:rFonts w:asciiTheme="majorHAnsi" w:eastAsiaTheme="majorEastAsia" w:hAnsiTheme="majorHAnsi" w:cstheme="majorBidi"/>
      <w:b/>
      <w:bCs/>
      <w:caps/>
      <w:sz w:val="30"/>
      <w:szCs w:val="24"/>
    </w:rPr>
  </w:style>
  <w:style w:type="paragraph" w:styleId="En-ttedetabledesmatires">
    <w:name w:val="TOC Heading"/>
    <w:basedOn w:val="Titre1"/>
    <w:next w:val="Normal"/>
    <w:uiPriority w:val="39"/>
    <w:semiHidden/>
    <w:qFormat/>
    <w:rsid w:val="00330600"/>
    <w:pPr>
      <w:keepNext w:val="0"/>
      <w:keepLines w:val="0"/>
      <w:pageBreakBefore/>
      <w:numPr>
        <w:numId w:val="0"/>
      </w:numPr>
      <w:suppressAutoHyphens w:val="0"/>
      <w:spacing w:before="0" w:after="700"/>
      <w:jc w:val="both"/>
      <w:outlineLvl w:val="9"/>
    </w:pPr>
    <w:rPr>
      <w:bCs w:val="0"/>
      <w:szCs w:val="32"/>
    </w:rPr>
  </w:style>
  <w:style w:type="character" w:styleId="Mentionnonrsolue">
    <w:name w:val="Unresolved Mention"/>
    <w:basedOn w:val="Policepardfaut"/>
    <w:uiPriority w:val="99"/>
    <w:semiHidden/>
    <w:rsid w:val="00924684"/>
    <w:rPr>
      <w:color w:val="605E5C"/>
      <w:shd w:val="clear" w:color="auto" w:fill="E1DFDD"/>
    </w:rPr>
  </w:style>
  <w:style w:type="paragraph" w:customStyle="1" w:styleId="Normalorganigrammes-schmas">
    <w:name w:val="Normal (organigrammes-schémas)"/>
    <w:basedOn w:val="Normal"/>
    <w:qFormat/>
    <w:rsid w:val="000D1815"/>
    <w:pPr>
      <w:suppressAutoHyphens/>
      <w:spacing w:before="10" w:after="0"/>
      <w:ind w:firstLine="0"/>
      <w:contextualSpacing/>
      <w:jc w:val="center"/>
    </w:pPr>
    <w:rPr>
      <w:rFonts w:asciiTheme="minorHAnsi" w:eastAsiaTheme="minorHAnsi" w:hAnsiTheme="minorHAnsi"/>
      <w:sz w:val="20"/>
      <w:lang w:eastAsia="fr-FR"/>
    </w:rPr>
  </w:style>
  <w:style w:type="paragraph" w:customStyle="1" w:styleId="Rponsenauto">
    <w:name w:val="Réponse (n° auto)"/>
    <w:basedOn w:val="Normal"/>
    <w:next w:val="Normal"/>
    <w:uiPriority w:val="9"/>
    <w:qFormat/>
    <w:rsid w:val="004A7EE6"/>
    <w:pPr>
      <w:pageBreakBefore/>
      <w:numPr>
        <w:numId w:val="27"/>
      </w:numPr>
      <w:tabs>
        <w:tab w:val="clear" w:pos="1474"/>
        <w:tab w:val="left" w:pos="1588"/>
        <w:tab w:val="left" w:pos="1701"/>
      </w:tabs>
      <w:jc w:val="center"/>
    </w:pPr>
    <w:rPr>
      <w:rFonts w:asciiTheme="majorHAnsi" w:hAnsiTheme="majorHAnsi" w:cs="Times New Roman"/>
      <w:b/>
      <w:sz w:val="26"/>
      <w:szCs w:val="24"/>
      <w:lang w:eastAsia="fr-FR"/>
    </w:rPr>
  </w:style>
  <w:style w:type="paragraph" w:customStyle="1" w:styleId="Spacer">
    <w:name w:val="Spacer"/>
    <w:basedOn w:val="Normal"/>
    <w:uiPriority w:val="99"/>
    <w:semiHidden/>
    <w:qFormat/>
    <w:rsid w:val="00C65255"/>
    <w:pPr>
      <w:spacing w:before="0" w:after="0"/>
      <w:ind w:firstLine="0"/>
    </w:pPr>
    <w:rPr>
      <w:sz w:val="2"/>
      <w:szCs w:val="2"/>
    </w:rPr>
  </w:style>
  <w:style w:type="paragraph" w:styleId="Rvision">
    <w:name w:val="Revision"/>
    <w:hidden/>
    <w:uiPriority w:val="99"/>
    <w:semiHidden/>
    <w:rsid w:val="007746B7"/>
    <w:pPr>
      <w:spacing w:after="0" w:line="240" w:lineRule="auto"/>
    </w:pPr>
  </w:style>
  <w:style w:type="paragraph" w:customStyle="1" w:styleId="Textedesaisie">
    <w:name w:val="Texte de saisie"/>
    <w:basedOn w:val="Normal"/>
    <w:qFormat/>
    <w:rsid w:val="005365ED"/>
    <w:pPr>
      <w:spacing w:before="0" w:after="160" w:line="256" w:lineRule="atLeast"/>
      <w:ind w:firstLine="0"/>
    </w:pPr>
    <w:rPr>
      <w:rFonts w:ascii="Arial" w:eastAsiaTheme="minorHAnsi" w:hAnsi="Arial" w:cs="Arial"/>
      <w:sz w:val="22"/>
    </w:rPr>
  </w:style>
  <w:style w:type="character" w:customStyle="1" w:styleId="CCOMPTESindice">
    <w:name w:val="C COMPTES indice"/>
    <w:basedOn w:val="Policepardfaut"/>
    <w:uiPriority w:val="1"/>
    <w:semiHidden/>
    <w:rsid w:val="009A0633"/>
    <w:rPr>
      <w:vertAlign w:val="subscript"/>
    </w:rPr>
  </w:style>
  <w:style w:type="table" w:customStyle="1" w:styleId="TABLEAURAPPORTPUBLICANNUEL">
    <w:name w:val="TABLEAU RAPPORT PUBLIC ANNUEL"/>
    <w:basedOn w:val="Grilledutableau"/>
    <w:uiPriority w:val="99"/>
    <w:qFormat/>
    <w:rsid w:val="009A0633"/>
    <w:rPr>
      <w:rFonts w:asciiTheme="minorHAnsi" w:eastAsiaTheme="minorHAnsi" w:hAnsiTheme="minorHAnsi"/>
    </w:rPr>
    <w:tblPr>
      <w:tblStyleRowBandSize w:val="0"/>
    </w:tblPr>
    <w:tblStylePr w:type="firstRow">
      <w:pPr>
        <w:keepNext/>
        <w:wordWrap/>
      </w:pPr>
      <w:rPr>
        <w:b/>
        <w:color w:val="FFFFFF" w:themeColor="background2"/>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CCCCCC"/>
      </w:tcPr>
    </w:tblStylePr>
    <w:tblStylePr w:type="lastRow">
      <w:rPr>
        <w:b/>
      </w:rPr>
      <w:tblPr/>
      <w:tcPr>
        <w:tcBorders>
          <w:top w:val="single" w:sz="8" w:space="0" w:color="auto"/>
          <w:left w:val="single" w:sz="4" w:space="0" w:color="auto"/>
          <w:bottom w:val="single" w:sz="8" w:space="0" w:color="auto"/>
          <w:right w:val="single" w:sz="4" w:space="0" w:color="auto"/>
          <w:insideH w:val="nil"/>
          <w:insideV w:val="single" w:sz="4" w:space="0" w:color="auto"/>
          <w:tl2br w:val="nil"/>
          <w:tr2bl w:val="nil"/>
        </w:tcBorders>
      </w:tcPr>
    </w:tblStylePr>
    <w:tblStylePr w:type="firstCol">
      <w:rPr>
        <w:i/>
      </w:rPr>
    </w:tblStylePr>
    <w:tblStylePr w:type="band1Horz">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F2F2F2" w:themeFill="background2" w:themeFillShade="F2"/>
      </w:tcPr>
    </w:tblStylePr>
  </w:style>
  <w:style w:type="paragraph" w:customStyle="1" w:styleId="TableauSchmaOrganigrammealignementgauche">
    <w:name w:val="Tableau/Schéma/Organigramme alignement à gauche"/>
    <w:basedOn w:val="Normal"/>
    <w:uiPriority w:val="14"/>
    <w:rsid w:val="009A0633"/>
    <w:pPr>
      <w:suppressAutoHyphens/>
      <w:spacing w:before="40" w:after="40"/>
      <w:ind w:firstLine="0"/>
      <w:jc w:val="left"/>
    </w:pPr>
    <w:rPr>
      <w:rFonts w:asciiTheme="minorHAnsi" w:eastAsiaTheme="minorHAnsi" w:hAnsiTheme="minorHAnsi"/>
      <w:sz w:val="19"/>
    </w:rPr>
  </w:style>
  <w:style w:type="paragraph" w:customStyle="1" w:styleId="Pucetiret">
    <w:name w:val="Puce tiret"/>
    <w:basedOn w:val="Normal"/>
    <w:uiPriority w:val="18"/>
    <w:rsid w:val="00A03C65"/>
    <w:pPr>
      <w:numPr>
        <w:numId w:val="35"/>
      </w:numPr>
      <w:spacing w:before="80" w:after="80"/>
    </w:pPr>
    <w:rPr>
      <w:rFonts w:asciiTheme="minorHAnsi" w:hAnsiTheme="minorHAnsi" w:cs="Times New Roman"/>
      <w:sz w:val="21"/>
      <w:szCs w:val="24"/>
      <w:lang w:eastAsia="fr-FR"/>
    </w:rPr>
  </w:style>
  <w:style w:type="paragraph" w:customStyle="1" w:styleId="BVIfnrCarCarCarCarCar">
    <w:name w:val="BVI fnr Car Car Car Car Car"/>
    <w:aliases w:val="BVI fnr Car Car Car Car1 Car Car Car,BVI fnr Car Car Car Car Car Car1,BVI fnr Car Car Car Car Car Car Car Car Car,BVI fnr Car Car Car Car Char Car Car Car Car Car Car,ftref Car Car Car Car Car"/>
    <w:basedOn w:val="Normal"/>
    <w:next w:val="Normal"/>
    <w:link w:val="Appelnotedebasdep"/>
    <w:uiPriority w:val="99"/>
    <w:rsid w:val="00D26D35"/>
    <w:pPr>
      <w:spacing w:before="0" w:after="160" w:line="240" w:lineRule="exact"/>
      <w:ind w:firstLine="0"/>
      <w:jc w:val="left"/>
    </w:pPr>
    <w:rPr>
      <w:sz w:val="22"/>
      <w:vertAlign w:val="superscript"/>
    </w:rPr>
  </w:style>
  <w:style w:type="table" w:customStyle="1" w:styleId="Grilledutableau1">
    <w:name w:val="Grille du tableau1"/>
    <w:basedOn w:val="TableauNormal"/>
    <w:next w:val="Grilledutableau"/>
    <w:uiPriority w:val="39"/>
    <w:rsid w:val="00C93A02"/>
    <w:pPr>
      <w:spacing w:after="0" w:line="240" w:lineRule="auto"/>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A459F2"/>
    <w:pPr>
      <w:spacing w:after="0" w:line="240" w:lineRule="auto"/>
    </w:pPr>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Source">
    <w:name w:val="Texte / Source"/>
    <w:basedOn w:val="Normal"/>
    <w:next w:val="Normal"/>
    <w:uiPriority w:val="30"/>
    <w:rsid w:val="00BE0824"/>
    <w:pPr>
      <w:spacing w:before="60" w:after="180"/>
      <w:ind w:firstLine="0"/>
      <w:contextualSpacing/>
    </w:pPr>
    <w:rPr>
      <w:rFonts w:asciiTheme="minorHAnsi" w:hAnsiTheme="minorHAnsi" w:cs="Times New Roman"/>
      <w:i/>
      <w:sz w:val="16"/>
      <w:szCs w:val="24"/>
      <w:lang w:eastAsia="fr-FR"/>
    </w:rPr>
  </w:style>
  <w:style w:type="paragraph" w:customStyle="1" w:styleId="TableauSchmaOrganigrammecentr">
    <w:name w:val="Tableau/Schéma/Organigramme centré"/>
    <w:basedOn w:val="Normal"/>
    <w:uiPriority w:val="15"/>
    <w:rsid w:val="00A741E5"/>
    <w:pPr>
      <w:suppressAutoHyphens/>
      <w:spacing w:before="40" w:after="40"/>
      <w:ind w:firstLine="0"/>
      <w:jc w:val="center"/>
    </w:pPr>
    <w:rPr>
      <w:rFonts w:asciiTheme="minorHAnsi" w:eastAsiaTheme="minorHAnsi" w:hAnsiTheme="minorHAnsi"/>
      <w:sz w:val="19"/>
      <w:lang w:eastAsia="fr-FR"/>
    </w:rPr>
  </w:style>
  <w:style w:type="character" w:customStyle="1" w:styleId="CCOMPTESgras">
    <w:name w:val="C COMPTES gras"/>
    <w:basedOn w:val="Policepardfaut"/>
    <w:uiPriority w:val="1"/>
    <w:semiHidden/>
    <w:rsid w:val="003D1A80"/>
    <w:rPr>
      <w:b/>
      <w:lang w:val="en-US"/>
    </w:rPr>
  </w:style>
  <w:style w:type="character" w:customStyle="1" w:styleId="CCOMPTESgrasitalique">
    <w:name w:val="C COMPTES gras + italique"/>
    <w:basedOn w:val="Policepardfaut"/>
    <w:uiPriority w:val="1"/>
    <w:semiHidden/>
    <w:rsid w:val="003D1A80"/>
    <w:rPr>
      <w:b/>
      <w:i/>
      <w:lang w:val="en-US"/>
    </w:rPr>
  </w:style>
  <w:style w:type="paragraph" w:customStyle="1" w:styleId="TableauSchmaOrganigrammealignementdroite">
    <w:name w:val="Tableau/Schéma/Organigramme alignement à droite"/>
    <w:basedOn w:val="TableauSchmaOrganigrammealignementgauche"/>
    <w:uiPriority w:val="16"/>
    <w:rsid w:val="003D1A80"/>
    <w:pPr>
      <w:jc w:val="right"/>
    </w:pPr>
  </w:style>
  <w:style w:type="character" w:customStyle="1" w:styleId="CCOMPTESitalique">
    <w:name w:val="C COMPTES italique"/>
    <w:basedOn w:val="Policepardfaut"/>
    <w:uiPriority w:val="1"/>
    <w:semiHidden/>
    <w:rsid w:val="00037DD7"/>
    <w:rPr>
      <w:i/>
      <w:lang w:val="en-US"/>
    </w:rPr>
  </w:style>
  <w:style w:type="paragraph" w:customStyle="1" w:styleId="ENCADR-Texte">
    <w:name w:val="ENCADRÉ - Texte"/>
    <w:basedOn w:val="Normal"/>
    <w:uiPriority w:val="41"/>
    <w:semiHidden/>
    <w:rsid w:val="009E5E2B"/>
    <w:pPr>
      <w:pBdr>
        <w:top w:val="single" w:sz="4" w:space="4" w:color="auto"/>
        <w:left w:val="single" w:sz="4" w:space="4" w:color="auto"/>
        <w:bottom w:val="single" w:sz="4" w:space="4" w:color="auto"/>
        <w:right w:val="single" w:sz="4" w:space="4" w:color="auto"/>
      </w:pBdr>
      <w:ind w:left="113" w:right="113" w:firstLine="567"/>
    </w:pPr>
    <w:rPr>
      <w:rFonts w:asciiTheme="minorHAnsi" w:eastAsiaTheme="minorHAnsi" w:hAnsiTheme="minorHAnsi"/>
      <w:sz w:val="20"/>
    </w:rPr>
  </w:style>
  <w:style w:type="paragraph" w:customStyle="1" w:styleId="ENCADR-Titre">
    <w:name w:val="ENCADRÉ - Titre"/>
    <w:basedOn w:val="ENCADR-Texte"/>
    <w:next w:val="ENCADR-Texte"/>
    <w:uiPriority w:val="39"/>
    <w:semiHidden/>
    <w:rsid w:val="009E5E2B"/>
    <w:pPr>
      <w:keepNext/>
      <w:suppressAutoHyphens/>
      <w:spacing w:before="360"/>
      <w:ind w:firstLine="0"/>
      <w:contextualSpacing/>
      <w:jc w:val="center"/>
    </w:pPr>
    <w:rPr>
      <w:b/>
      <w:sz w:val="21"/>
    </w:rPr>
  </w:style>
  <w:style w:type="paragraph" w:customStyle="1" w:styleId="Pucerond2">
    <w:name w:val="Puce rond 2"/>
    <w:basedOn w:val="Normal"/>
    <w:uiPriority w:val="19"/>
    <w:rsid w:val="009E5E2B"/>
    <w:pPr>
      <w:numPr>
        <w:numId w:val="45"/>
      </w:numPr>
      <w:spacing w:before="40" w:after="40"/>
    </w:pPr>
    <w:rPr>
      <w:rFonts w:asciiTheme="minorHAnsi" w:hAnsiTheme="minorHAnsi" w:cs="Times New Roman"/>
      <w:sz w:val="21"/>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2482337">
      <w:bodyDiv w:val="1"/>
      <w:marLeft w:val="0"/>
      <w:marRight w:val="0"/>
      <w:marTop w:val="0"/>
      <w:marBottom w:val="0"/>
      <w:divBdr>
        <w:top w:val="none" w:sz="0" w:space="0" w:color="auto"/>
        <w:left w:val="none" w:sz="0" w:space="0" w:color="auto"/>
        <w:bottom w:val="none" w:sz="0" w:space="0" w:color="auto"/>
        <w:right w:val="none" w:sz="0" w:space="0" w:color="auto"/>
      </w:divBdr>
    </w:div>
    <w:div w:id="58096100">
      <w:bodyDiv w:val="1"/>
      <w:marLeft w:val="0"/>
      <w:marRight w:val="0"/>
      <w:marTop w:val="0"/>
      <w:marBottom w:val="0"/>
      <w:divBdr>
        <w:top w:val="none" w:sz="0" w:space="0" w:color="auto"/>
        <w:left w:val="none" w:sz="0" w:space="0" w:color="auto"/>
        <w:bottom w:val="none" w:sz="0" w:space="0" w:color="auto"/>
        <w:right w:val="none" w:sz="0" w:space="0" w:color="auto"/>
      </w:divBdr>
    </w:div>
    <w:div w:id="130446279">
      <w:bodyDiv w:val="1"/>
      <w:marLeft w:val="0"/>
      <w:marRight w:val="0"/>
      <w:marTop w:val="0"/>
      <w:marBottom w:val="0"/>
      <w:divBdr>
        <w:top w:val="none" w:sz="0" w:space="0" w:color="auto"/>
        <w:left w:val="none" w:sz="0" w:space="0" w:color="auto"/>
        <w:bottom w:val="none" w:sz="0" w:space="0" w:color="auto"/>
        <w:right w:val="none" w:sz="0" w:space="0" w:color="auto"/>
      </w:divBdr>
    </w:div>
    <w:div w:id="318508272">
      <w:bodyDiv w:val="1"/>
      <w:marLeft w:val="0"/>
      <w:marRight w:val="0"/>
      <w:marTop w:val="0"/>
      <w:marBottom w:val="0"/>
      <w:divBdr>
        <w:top w:val="none" w:sz="0" w:space="0" w:color="auto"/>
        <w:left w:val="none" w:sz="0" w:space="0" w:color="auto"/>
        <w:bottom w:val="none" w:sz="0" w:space="0" w:color="auto"/>
        <w:right w:val="none" w:sz="0" w:space="0" w:color="auto"/>
      </w:divBdr>
    </w:div>
    <w:div w:id="402530279">
      <w:bodyDiv w:val="1"/>
      <w:marLeft w:val="0"/>
      <w:marRight w:val="0"/>
      <w:marTop w:val="0"/>
      <w:marBottom w:val="0"/>
      <w:divBdr>
        <w:top w:val="none" w:sz="0" w:space="0" w:color="auto"/>
        <w:left w:val="none" w:sz="0" w:space="0" w:color="auto"/>
        <w:bottom w:val="none" w:sz="0" w:space="0" w:color="auto"/>
        <w:right w:val="none" w:sz="0" w:space="0" w:color="auto"/>
      </w:divBdr>
    </w:div>
    <w:div w:id="403767526">
      <w:bodyDiv w:val="1"/>
      <w:marLeft w:val="0"/>
      <w:marRight w:val="0"/>
      <w:marTop w:val="0"/>
      <w:marBottom w:val="0"/>
      <w:divBdr>
        <w:top w:val="none" w:sz="0" w:space="0" w:color="auto"/>
        <w:left w:val="none" w:sz="0" w:space="0" w:color="auto"/>
        <w:bottom w:val="none" w:sz="0" w:space="0" w:color="auto"/>
        <w:right w:val="none" w:sz="0" w:space="0" w:color="auto"/>
      </w:divBdr>
    </w:div>
    <w:div w:id="421725499">
      <w:bodyDiv w:val="1"/>
      <w:marLeft w:val="0"/>
      <w:marRight w:val="0"/>
      <w:marTop w:val="0"/>
      <w:marBottom w:val="0"/>
      <w:divBdr>
        <w:top w:val="none" w:sz="0" w:space="0" w:color="auto"/>
        <w:left w:val="none" w:sz="0" w:space="0" w:color="auto"/>
        <w:bottom w:val="none" w:sz="0" w:space="0" w:color="auto"/>
        <w:right w:val="none" w:sz="0" w:space="0" w:color="auto"/>
      </w:divBdr>
    </w:div>
    <w:div w:id="452292202">
      <w:bodyDiv w:val="1"/>
      <w:marLeft w:val="0"/>
      <w:marRight w:val="0"/>
      <w:marTop w:val="0"/>
      <w:marBottom w:val="0"/>
      <w:divBdr>
        <w:top w:val="none" w:sz="0" w:space="0" w:color="auto"/>
        <w:left w:val="none" w:sz="0" w:space="0" w:color="auto"/>
        <w:bottom w:val="none" w:sz="0" w:space="0" w:color="auto"/>
        <w:right w:val="none" w:sz="0" w:space="0" w:color="auto"/>
      </w:divBdr>
    </w:div>
    <w:div w:id="652608612">
      <w:bodyDiv w:val="1"/>
      <w:marLeft w:val="0"/>
      <w:marRight w:val="0"/>
      <w:marTop w:val="0"/>
      <w:marBottom w:val="0"/>
      <w:divBdr>
        <w:top w:val="none" w:sz="0" w:space="0" w:color="auto"/>
        <w:left w:val="none" w:sz="0" w:space="0" w:color="auto"/>
        <w:bottom w:val="none" w:sz="0" w:space="0" w:color="auto"/>
        <w:right w:val="none" w:sz="0" w:space="0" w:color="auto"/>
      </w:divBdr>
    </w:div>
    <w:div w:id="701057185">
      <w:bodyDiv w:val="1"/>
      <w:marLeft w:val="0"/>
      <w:marRight w:val="0"/>
      <w:marTop w:val="0"/>
      <w:marBottom w:val="0"/>
      <w:divBdr>
        <w:top w:val="none" w:sz="0" w:space="0" w:color="auto"/>
        <w:left w:val="none" w:sz="0" w:space="0" w:color="auto"/>
        <w:bottom w:val="none" w:sz="0" w:space="0" w:color="auto"/>
        <w:right w:val="none" w:sz="0" w:space="0" w:color="auto"/>
      </w:divBdr>
    </w:div>
    <w:div w:id="754939478">
      <w:bodyDiv w:val="1"/>
      <w:marLeft w:val="0"/>
      <w:marRight w:val="0"/>
      <w:marTop w:val="0"/>
      <w:marBottom w:val="0"/>
      <w:divBdr>
        <w:top w:val="none" w:sz="0" w:space="0" w:color="auto"/>
        <w:left w:val="none" w:sz="0" w:space="0" w:color="auto"/>
        <w:bottom w:val="none" w:sz="0" w:space="0" w:color="auto"/>
        <w:right w:val="none" w:sz="0" w:space="0" w:color="auto"/>
      </w:divBdr>
    </w:div>
    <w:div w:id="850265535">
      <w:bodyDiv w:val="1"/>
      <w:marLeft w:val="0"/>
      <w:marRight w:val="0"/>
      <w:marTop w:val="0"/>
      <w:marBottom w:val="0"/>
      <w:divBdr>
        <w:top w:val="none" w:sz="0" w:space="0" w:color="auto"/>
        <w:left w:val="none" w:sz="0" w:space="0" w:color="auto"/>
        <w:bottom w:val="none" w:sz="0" w:space="0" w:color="auto"/>
        <w:right w:val="none" w:sz="0" w:space="0" w:color="auto"/>
      </w:divBdr>
    </w:div>
    <w:div w:id="882793492">
      <w:bodyDiv w:val="1"/>
      <w:marLeft w:val="0"/>
      <w:marRight w:val="0"/>
      <w:marTop w:val="0"/>
      <w:marBottom w:val="0"/>
      <w:divBdr>
        <w:top w:val="none" w:sz="0" w:space="0" w:color="auto"/>
        <w:left w:val="none" w:sz="0" w:space="0" w:color="auto"/>
        <w:bottom w:val="none" w:sz="0" w:space="0" w:color="auto"/>
        <w:right w:val="none" w:sz="0" w:space="0" w:color="auto"/>
      </w:divBdr>
    </w:div>
    <w:div w:id="1082410280">
      <w:bodyDiv w:val="1"/>
      <w:marLeft w:val="0"/>
      <w:marRight w:val="0"/>
      <w:marTop w:val="0"/>
      <w:marBottom w:val="0"/>
      <w:divBdr>
        <w:top w:val="none" w:sz="0" w:space="0" w:color="auto"/>
        <w:left w:val="none" w:sz="0" w:space="0" w:color="auto"/>
        <w:bottom w:val="none" w:sz="0" w:space="0" w:color="auto"/>
        <w:right w:val="none" w:sz="0" w:space="0" w:color="auto"/>
      </w:divBdr>
    </w:div>
    <w:div w:id="1151826379">
      <w:bodyDiv w:val="1"/>
      <w:marLeft w:val="0"/>
      <w:marRight w:val="0"/>
      <w:marTop w:val="0"/>
      <w:marBottom w:val="0"/>
      <w:divBdr>
        <w:top w:val="none" w:sz="0" w:space="0" w:color="auto"/>
        <w:left w:val="none" w:sz="0" w:space="0" w:color="auto"/>
        <w:bottom w:val="none" w:sz="0" w:space="0" w:color="auto"/>
        <w:right w:val="none" w:sz="0" w:space="0" w:color="auto"/>
      </w:divBdr>
    </w:div>
    <w:div w:id="1168056331">
      <w:bodyDiv w:val="1"/>
      <w:marLeft w:val="0"/>
      <w:marRight w:val="0"/>
      <w:marTop w:val="0"/>
      <w:marBottom w:val="0"/>
      <w:divBdr>
        <w:top w:val="none" w:sz="0" w:space="0" w:color="auto"/>
        <w:left w:val="none" w:sz="0" w:space="0" w:color="auto"/>
        <w:bottom w:val="none" w:sz="0" w:space="0" w:color="auto"/>
        <w:right w:val="none" w:sz="0" w:space="0" w:color="auto"/>
      </w:divBdr>
    </w:div>
    <w:div w:id="1196383825">
      <w:bodyDiv w:val="1"/>
      <w:marLeft w:val="0"/>
      <w:marRight w:val="0"/>
      <w:marTop w:val="0"/>
      <w:marBottom w:val="0"/>
      <w:divBdr>
        <w:top w:val="none" w:sz="0" w:space="0" w:color="auto"/>
        <w:left w:val="none" w:sz="0" w:space="0" w:color="auto"/>
        <w:bottom w:val="none" w:sz="0" w:space="0" w:color="auto"/>
        <w:right w:val="none" w:sz="0" w:space="0" w:color="auto"/>
      </w:divBdr>
    </w:div>
    <w:div w:id="1288779563">
      <w:bodyDiv w:val="1"/>
      <w:marLeft w:val="0"/>
      <w:marRight w:val="0"/>
      <w:marTop w:val="0"/>
      <w:marBottom w:val="0"/>
      <w:divBdr>
        <w:top w:val="none" w:sz="0" w:space="0" w:color="auto"/>
        <w:left w:val="none" w:sz="0" w:space="0" w:color="auto"/>
        <w:bottom w:val="none" w:sz="0" w:space="0" w:color="auto"/>
        <w:right w:val="none" w:sz="0" w:space="0" w:color="auto"/>
      </w:divBdr>
    </w:div>
    <w:div w:id="1312904770">
      <w:bodyDiv w:val="1"/>
      <w:marLeft w:val="0"/>
      <w:marRight w:val="0"/>
      <w:marTop w:val="0"/>
      <w:marBottom w:val="0"/>
      <w:divBdr>
        <w:top w:val="none" w:sz="0" w:space="0" w:color="auto"/>
        <w:left w:val="none" w:sz="0" w:space="0" w:color="auto"/>
        <w:bottom w:val="none" w:sz="0" w:space="0" w:color="auto"/>
        <w:right w:val="none" w:sz="0" w:space="0" w:color="auto"/>
      </w:divBdr>
    </w:div>
    <w:div w:id="1534418609">
      <w:bodyDiv w:val="1"/>
      <w:marLeft w:val="0"/>
      <w:marRight w:val="0"/>
      <w:marTop w:val="0"/>
      <w:marBottom w:val="0"/>
      <w:divBdr>
        <w:top w:val="none" w:sz="0" w:space="0" w:color="auto"/>
        <w:left w:val="none" w:sz="0" w:space="0" w:color="auto"/>
        <w:bottom w:val="none" w:sz="0" w:space="0" w:color="auto"/>
        <w:right w:val="none" w:sz="0" w:space="0" w:color="auto"/>
      </w:divBdr>
    </w:div>
    <w:div w:id="1546332426">
      <w:bodyDiv w:val="1"/>
      <w:marLeft w:val="0"/>
      <w:marRight w:val="0"/>
      <w:marTop w:val="0"/>
      <w:marBottom w:val="0"/>
      <w:divBdr>
        <w:top w:val="none" w:sz="0" w:space="0" w:color="auto"/>
        <w:left w:val="none" w:sz="0" w:space="0" w:color="auto"/>
        <w:bottom w:val="none" w:sz="0" w:space="0" w:color="auto"/>
        <w:right w:val="none" w:sz="0" w:space="0" w:color="auto"/>
      </w:divBdr>
    </w:div>
    <w:div w:id="1604872366">
      <w:bodyDiv w:val="1"/>
      <w:marLeft w:val="0"/>
      <w:marRight w:val="0"/>
      <w:marTop w:val="0"/>
      <w:marBottom w:val="0"/>
      <w:divBdr>
        <w:top w:val="none" w:sz="0" w:space="0" w:color="auto"/>
        <w:left w:val="none" w:sz="0" w:space="0" w:color="auto"/>
        <w:bottom w:val="none" w:sz="0" w:space="0" w:color="auto"/>
        <w:right w:val="none" w:sz="0" w:space="0" w:color="auto"/>
      </w:divBdr>
    </w:div>
    <w:div w:id="1636448297">
      <w:bodyDiv w:val="1"/>
      <w:marLeft w:val="0"/>
      <w:marRight w:val="0"/>
      <w:marTop w:val="0"/>
      <w:marBottom w:val="0"/>
      <w:divBdr>
        <w:top w:val="none" w:sz="0" w:space="0" w:color="auto"/>
        <w:left w:val="none" w:sz="0" w:space="0" w:color="auto"/>
        <w:bottom w:val="none" w:sz="0" w:space="0" w:color="auto"/>
        <w:right w:val="none" w:sz="0" w:space="0" w:color="auto"/>
      </w:divBdr>
    </w:div>
    <w:div w:id="1666934082">
      <w:bodyDiv w:val="1"/>
      <w:marLeft w:val="0"/>
      <w:marRight w:val="0"/>
      <w:marTop w:val="0"/>
      <w:marBottom w:val="0"/>
      <w:divBdr>
        <w:top w:val="none" w:sz="0" w:space="0" w:color="auto"/>
        <w:left w:val="none" w:sz="0" w:space="0" w:color="auto"/>
        <w:bottom w:val="none" w:sz="0" w:space="0" w:color="auto"/>
        <w:right w:val="none" w:sz="0" w:space="0" w:color="auto"/>
      </w:divBdr>
    </w:div>
    <w:div w:id="1670592636">
      <w:bodyDiv w:val="1"/>
      <w:marLeft w:val="0"/>
      <w:marRight w:val="0"/>
      <w:marTop w:val="0"/>
      <w:marBottom w:val="0"/>
      <w:divBdr>
        <w:top w:val="none" w:sz="0" w:space="0" w:color="auto"/>
        <w:left w:val="none" w:sz="0" w:space="0" w:color="auto"/>
        <w:bottom w:val="none" w:sz="0" w:space="0" w:color="auto"/>
        <w:right w:val="none" w:sz="0" w:space="0" w:color="auto"/>
      </w:divBdr>
    </w:div>
    <w:div w:id="1783647843">
      <w:bodyDiv w:val="1"/>
      <w:marLeft w:val="0"/>
      <w:marRight w:val="0"/>
      <w:marTop w:val="0"/>
      <w:marBottom w:val="0"/>
      <w:divBdr>
        <w:top w:val="none" w:sz="0" w:space="0" w:color="auto"/>
        <w:left w:val="none" w:sz="0" w:space="0" w:color="auto"/>
        <w:bottom w:val="none" w:sz="0" w:space="0" w:color="auto"/>
        <w:right w:val="none" w:sz="0" w:space="0" w:color="auto"/>
      </w:divBdr>
    </w:div>
    <w:div w:id="1892615553">
      <w:bodyDiv w:val="1"/>
      <w:marLeft w:val="0"/>
      <w:marRight w:val="0"/>
      <w:marTop w:val="0"/>
      <w:marBottom w:val="0"/>
      <w:divBdr>
        <w:top w:val="none" w:sz="0" w:space="0" w:color="auto"/>
        <w:left w:val="none" w:sz="0" w:space="0" w:color="auto"/>
        <w:bottom w:val="none" w:sz="0" w:space="0" w:color="auto"/>
        <w:right w:val="none" w:sz="0" w:space="0" w:color="auto"/>
      </w:divBdr>
    </w:div>
    <w:div w:id="1972125641">
      <w:bodyDiv w:val="1"/>
      <w:marLeft w:val="0"/>
      <w:marRight w:val="0"/>
      <w:marTop w:val="0"/>
      <w:marBottom w:val="0"/>
      <w:divBdr>
        <w:top w:val="none" w:sz="0" w:space="0" w:color="auto"/>
        <w:left w:val="none" w:sz="0" w:space="0" w:color="auto"/>
        <w:bottom w:val="none" w:sz="0" w:space="0" w:color="auto"/>
        <w:right w:val="none" w:sz="0" w:space="0" w:color="auto"/>
      </w:divBdr>
    </w:div>
    <w:div w:id="2070301341">
      <w:bodyDiv w:val="1"/>
      <w:marLeft w:val="0"/>
      <w:marRight w:val="0"/>
      <w:marTop w:val="0"/>
      <w:marBottom w:val="0"/>
      <w:divBdr>
        <w:top w:val="none" w:sz="0" w:space="0" w:color="auto"/>
        <w:left w:val="none" w:sz="0" w:space="0" w:color="auto"/>
        <w:bottom w:val="none" w:sz="0" w:space="0" w:color="auto"/>
        <w:right w:val="none" w:sz="0" w:space="0" w:color="auto"/>
      </w:divBdr>
    </w:div>
    <w:div w:id="2124644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endnotes" Target="endnotes.xml"/><Relationship Id="rId18" Type="http://schemas.openxmlformats.org/officeDocument/2006/relationships/footer" Target="footer3.xml"/><Relationship Id="rId26" Type="http://schemas.openxmlformats.org/officeDocument/2006/relationships/hyperlink" Target="https://hal.science/browse/domain" TargetMode="External"/><Relationship Id="rId39" Type="http://schemas.openxmlformats.org/officeDocument/2006/relationships/chart" Target="charts/chart9.xml"/><Relationship Id="rId21" Type="http://schemas.openxmlformats.org/officeDocument/2006/relationships/header" Target="header4.xml"/><Relationship Id="rId34" Type="http://schemas.openxmlformats.org/officeDocument/2006/relationships/image" Target="media/image6.png"/><Relationship Id="rId42" Type="http://schemas.openxmlformats.org/officeDocument/2006/relationships/hyperlink" Target="http://www.grec-sud.fr/" TargetMode="External"/><Relationship Id="rId47" Type="http://schemas.openxmlformats.org/officeDocument/2006/relationships/hyperlink" Target="https://www.normandie.fr/giec-normand" TargetMode="External"/><Relationship Id="rId50" Type="http://schemas.openxmlformats.org/officeDocument/2006/relationships/chart" Target="charts/chart11.xml"/><Relationship Id="rId55" Type="http://schemas.openxmlformats.org/officeDocument/2006/relationships/glossaryDocument" Target="glossary/document.xml"/><Relationship Id="rId7" Type="http://schemas.openxmlformats.org/officeDocument/2006/relationships/customXml" Target="../customXml/item7.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3.png"/><Relationship Id="rId11" Type="http://schemas.openxmlformats.org/officeDocument/2006/relationships/webSettings" Target="webSettings.xml"/><Relationship Id="rId24" Type="http://schemas.openxmlformats.org/officeDocument/2006/relationships/hyperlink" Target="https://www.ipcc.ch/report/ar6/wg3" TargetMode="External"/><Relationship Id="rId32" Type="http://schemas.openxmlformats.org/officeDocument/2006/relationships/chart" Target="charts/chart4.xml"/><Relationship Id="rId37" Type="http://schemas.openxmlformats.org/officeDocument/2006/relationships/chart" Target="charts/chart7.xml"/><Relationship Id="rId40" Type="http://schemas.openxmlformats.org/officeDocument/2006/relationships/hyperlink" Target="http://www.acclimaterra.fr/" TargetMode="External"/><Relationship Id="rId45" Type="http://schemas.openxmlformats.org/officeDocument/2006/relationships/hyperlink" Target="https://grec-idf.eu/" TargetMode="External"/><Relationship Id="rId53" Type="http://schemas.openxmlformats.org/officeDocument/2006/relationships/image" Target="media/image7.png"/><Relationship Id="rId5" Type="http://schemas.openxmlformats.org/officeDocument/2006/relationships/customXml" Target="../customXml/item5.xml"/><Relationship Id="rId10" Type="http://schemas.openxmlformats.org/officeDocument/2006/relationships/settings" Target="settings.xml"/><Relationship Id="rId19" Type="http://schemas.openxmlformats.org/officeDocument/2006/relationships/header" Target="header3.xml"/><Relationship Id="rId31" Type="http://schemas.openxmlformats.org/officeDocument/2006/relationships/chart" Target="charts/chart3.xml"/><Relationship Id="rId44" Type="http://schemas.openxmlformats.org/officeDocument/2006/relationships/hyperlink" Target="https://www.synergile.fr/" TargetMode="External"/><Relationship Id="rId52" Type="http://schemas.openxmlformats.org/officeDocument/2006/relationships/hyperlink" Target="https://hyphe.medialab.sciences-po.fr/" TargetMode="Externa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hyperlink" Target="https://www.ipcc.ch/report/ar6/wg1/" TargetMode="External"/><Relationship Id="rId27" Type="http://schemas.openxmlformats.org/officeDocument/2006/relationships/image" Target="media/image2.PNG"/><Relationship Id="rId30" Type="http://schemas.openxmlformats.org/officeDocument/2006/relationships/image" Target="media/image4.png"/><Relationship Id="rId35" Type="http://schemas.openxmlformats.org/officeDocument/2006/relationships/chart" Target="charts/chart5.xml"/><Relationship Id="rId43" Type="http://schemas.openxmlformats.org/officeDocument/2006/relationships/hyperlink" Target="https://reco-occitanie.org/" TargetMode="External"/><Relationship Id="rId48" Type="http://schemas.openxmlformats.org/officeDocument/2006/relationships/chart" Target="charts/chart10.xml"/><Relationship Id="rId56" Type="http://schemas.openxmlformats.org/officeDocument/2006/relationships/theme" Target="theme/theme1.xml"/><Relationship Id="rId8" Type="http://schemas.openxmlformats.org/officeDocument/2006/relationships/numbering" Target="numbering.xml"/><Relationship Id="rId51" Type="http://schemas.openxmlformats.org/officeDocument/2006/relationships/hyperlink" Target="https://app.neilpatel.com/" TargetMode="External"/><Relationship Id="rId3" Type="http://schemas.openxmlformats.org/officeDocument/2006/relationships/customXml" Target="../customXml/item3.xml"/><Relationship Id="rId12" Type="http://schemas.openxmlformats.org/officeDocument/2006/relationships/footnotes" Target="footnotes.xml"/><Relationship Id="rId17" Type="http://schemas.openxmlformats.org/officeDocument/2006/relationships/footer" Target="footer2.xml"/><Relationship Id="rId25" Type="http://schemas.openxmlformats.org/officeDocument/2006/relationships/chart" Target="charts/chart1.xml"/><Relationship Id="rId33" Type="http://schemas.openxmlformats.org/officeDocument/2006/relationships/image" Target="media/image5.png"/><Relationship Id="rId38" Type="http://schemas.openxmlformats.org/officeDocument/2006/relationships/chart" Target="charts/chart8.xml"/><Relationship Id="rId46" Type="http://schemas.openxmlformats.org/officeDocument/2006/relationships/hyperlink" Target="https://climibio.univ-lille.fr/" TargetMode="External"/><Relationship Id="rId20" Type="http://schemas.openxmlformats.org/officeDocument/2006/relationships/footer" Target="footer4.xml"/><Relationship Id="rId41" Type="http://schemas.openxmlformats.org/officeDocument/2006/relationships/hyperlink" Target="https://grec-alpes-auvergne.osug.fr/"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eader" Target="header2.xml"/><Relationship Id="rId23" Type="http://schemas.openxmlformats.org/officeDocument/2006/relationships/hyperlink" Target="https://www.ipcc.ch/report/ar6/wg2/" TargetMode="External"/><Relationship Id="rId28" Type="http://schemas.openxmlformats.org/officeDocument/2006/relationships/chart" Target="charts/chart2.xml"/><Relationship Id="rId36" Type="http://schemas.openxmlformats.org/officeDocument/2006/relationships/chart" Target="charts/chart6.xml"/><Relationship Id="rId49" Type="http://schemas.openxmlformats.org/officeDocument/2006/relationships/hyperlink" Target="https://worldwide.espacenet.com/patent/search"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overleaf.com/learn/latex/Bibliography_management_with_bibtex" TargetMode="External"/><Relationship Id="rId13" Type="http://schemas.openxmlformats.org/officeDocument/2006/relationships/hyperlink" Target="https://hal.science/browse/domain" TargetMode="External"/><Relationship Id="rId18" Type="http://schemas.openxmlformats.org/officeDocument/2006/relationships/hyperlink" Target="https://www.isipedia.org/" TargetMode="External"/><Relationship Id="rId3" Type="http://schemas.openxmlformats.org/officeDocument/2006/relationships/hyperlink" Target="https://zenodo.org/records/7615825" TargetMode="External"/><Relationship Id="rId7" Type="http://schemas.openxmlformats.org/officeDocument/2006/relationships/hyperlink" Target="https://www.ipcc.ch/report/ar6/wg2/downloads/" TargetMode="External"/><Relationship Id="rId12" Type="http://schemas.openxmlformats.org/officeDocument/2006/relationships/hyperlink" Target="https://doi.org/10.1016/j.crm.2021.100290" TargetMode="External"/><Relationship Id="rId17" Type="http://schemas.openxmlformats.org/officeDocument/2006/relationships/hyperlink" Target="https://www.isimip.org/isipedia/" TargetMode="External"/><Relationship Id="rId2" Type="http://schemas.openxmlformats.org/officeDocument/2006/relationships/hyperlink" Target="https://www.carbonbrief.org/guest-post-what-13500-citations-reveal-about-the-ipccs-climate-science-report/" TargetMode="External"/><Relationship Id="rId16" Type="http://schemas.openxmlformats.org/officeDocument/2006/relationships/hyperlink" Target="https://www.isimip.org/" TargetMode="External"/><Relationship Id="rId1" Type="http://schemas.openxmlformats.org/officeDocument/2006/relationships/hyperlink" Target="https://www.doi.org/" TargetMode="External"/><Relationship Id="rId6" Type="http://schemas.openxmlformats.org/officeDocument/2006/relationships/hyperlink" Target="https://www.ipcc.ch/report/ar6/wg3/downloads/" TargetMode="External"/><Relationship Id="rId11" Type="http://schemas.openxmlformats.org/officeDocument/2006/relationships/hyperlink" Target="https://incites.help.clarivate.com/Content/Research-Areas/wos-research-areas.htm" TargetMode="External"/><Relationship Id="rId5" Type="http://schemas.openxmlformats.org/officeDocument/2006/relationships/hyperlink" Target="https://www.ipcc.ch/report/ar6/wg2/downloads/" TargetMode="External"/><Relationship Id="rId15" Type="http://schemas.openxmlformats.org/officeDocument/2006/relationships/hyperlink" Target="https://www.pik-potsdam.de/de/produkte/publikationen/sachberichte/sachbericht-2022" TargetMode="External"/><Relationship Id="rId10" Type="http://schemas.openxmlformats.org/officeDocument/2006/relationships/hyperlink" Target="https://incites.help.clarivate.com/Content/Research-Areas/wos-reclass-papers-multidiscipline-journals.htm" TargetMode="External"/><Relationship Id="rId19" Type="http://schemas.openxmlformats.org/officeDocument/2006/relationships/hyperlink" Target="https://journals.aps.org/pre/abstract/10.1103/PhysRevE.64.025101" TargetMode="External"/><Relationship Id="rId4" Type="http://schemas.openxmlformats.org/officeDocument/2006/relationships/hyperlink" Target="https://www.ipcc.ch/report/ar6/wg1/downloads/" TargetMode="External"/><Relationship Id="rId9" Type="http://schemas.openxmlformats.org/officeDocument/2006/relationships/hyperlink" Target="https://tex.stackexchange.com/questions/41821/creating-bib-file-containing-only-the-cited-references-of-a-bigger-bib-file" TargetMode="External"/><Relationship Id="rId14" Type="http://schemas.openxmlformats.org/officeDocument/2006/relationships/hyperlink" Target="https://agritrop.cirad.fr/id/saved_search/2154"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chau\Downloads\RIOP_MASTER_COUR_REVU%2010-01-2023.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mmoslonka-lefebvre\Desktop\AdaptationCC\Scientometrie\GIEC\GIEC_Cycle6_Comparaison_approches_bib_et_pdf_v20230424_avec_decision_et_figur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moslonka-lefebvre\Desktop\AdaptationCC\Scientometrie\GIEC_HAL_WOS\RechercheAdaptationCC_GIEC_HAL_WOS_AnalyseSectorielle_ZonesGeoTerritoires_v20230622_Excel.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mmoslonka-lefebvre\Desktop\AdaptationCC\Scientometrie\GIEC\structures_harmonisees_GIEC_HAL_MemePerimetreQuePublications_v20230529_VF_Excel_OutreMer.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mmoslonka-lefebvre\Desktop\AdaptationCC\Scientometrie\GIEC\Bilan_GIEC_HAL.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mmoslonka-lefebvre\Desktop\AdaptationCC\Scientometrie\GIEC\laboratoires_avec_RNSR_v20230601_Excel.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mmoslonka-lefebvre\Desktop\AdaptationCC\RAR\ANR\Decomptes_Bailleurs_RechercheAdaptationCC_GIEC_WOS_v23030914.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mmoslonka-lefebvre\Desktop\AdaptationCC\RAR\ANR\Decomptes_Bailleurs_RechercheAdaptationCC_GIEC_WOS_v23030914.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mmoslonka-lefebvre\Desktop\AdaptationCC\Theses_fr_adaptation\Bilan.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https://dlre.ccomptes.fr/sites/ch3sect1/EQ_2022_recherche_adaptation/Documents%20partages/2-Travail/GIEC_IPCC/IPCC_AR6_data.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mmoslonka-lefebvre\Desktop\AdaptationCC\ServicesClimatiques_OffreDemande_Analyses\GREC%20analyse%2020230609_avec_figure.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mmoslonka-lefebvre\Desktop\AdaptationCC\ServicesClimatiques_OffreDemande_Analyses\ServicesClimatiques_Carto_Correspondance%2020230616v2_vRIOP_TableauAnnexe.xlsx" TargetMode="Externa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scatterChart>
        <c:scatterStyle val="lineMarker"/>
        <c:varyColors val="0"/>
        <c:ser>
          <c:idx val="0"/>
          <c:order val="0"/>
          <c:spPr>
            <a:ln w="25400" cap="rnd">
              <a:noFill/>
              <a:round/>
            </a:ln>
            <a:effectLst/>
          </c:spPr>
          <c:marker>
            <c:symbol val="circle"/>
            <c:size val="5"/>
            <c:spPr>
              <a:solidFill>
                <a:schemeClr val="accent1"/>
              </a:solidFill>
              <a:ln w="9525">
                <a:solidFill>
                  <a:schemeClr val="accent1"/>
                </a:solidFill>
              </a:ln>
              <a:effectLst/>
            </c:spPr>
          </c:marker>
          <c:dLbls>
            <c:dLbl>
              <c:idx val="0"/>
              <c:tx>
                <c:rich>
                  <a:bodyPr/>
                  <a:lstStyle/>
                  <a:p>
                    <a:fld id="{D2D46659-EEC0-47DE-A940-26507C6BB7BD}" type="CELLRANGE">
                      <a:rPr lang="en-US"/>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1054-4336-96EE-D92352778C72}"/>
                </c:ext>
              </c:extLst>
            </c:dLbl>
            <c:dLbl>
              <c:idx val="1"/>
              <c:tx>
                <c:rich>
                  <a:bodyPr/>
                  <a:lstStyle/>
                  <a:p>
                    <a:fld id="{6DBCC661-A3E3-4868-BA5B-0818ADB29FC6}"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1054-4336-96EE-D92352778C72}"/>
                </c:ext>
              </c:extLst>
            </c:dLbl>
            <c:dLbl>
              <c:idx val="2"/>
              <c:tx>
                <c:rich>
                  <a:bodyPr/>
                  <a:lstStyle/>
                  <a:p>
                    <a:fld id="{502BB939-6C0B-493D-84B7-3EF1724AE962}"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1054-4336-96EE-D92352778C72}"/>
                </c:ext>
              </c:extLst>
            </c:dLbl>
            <c:dLbl>
              <c:idx val="3"/>
              <c:tx>
                <c:rich>
                  <a:bodyPr/>
                  <a:lstStyle/>
                  <a:p>
                    <a:fld id="{5AFD7713-D71C-4375-8C13-842D7E29567D}"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1054-4336-96EE-D92352778C72}"/>
                </c:ext>
              </c:extLst>
            </c:dLbl>
            <c:dLbl>
              <c:idx val="4"/>
              <c:tx>
                <c:rich>
                  <a:bodyPr/>
                  <a:lstStyle/>
                  <a:p>
                    <a:fld id="{D4C0BF56-0E70-4496-9ED0-BA2712D5AC10}"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1054-4336-96EE-D92352778C72}"/>
                </c:ext>
              </c:extLst>
            </c:dLbl>
            <c:dLbl>
              <c:idx val="5"/>
              <c:tx>
                <c:rich>
                  <a:bodyPr/>
                  <a:lstStyle/>
                  <a:p>
                    <a:fld id="{496E27D1-7626-4245-9CBE-CD7AFEFE2314}"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1054-4336-96EE-D92352778C72}"/>
                </c:ext>
              </c:extLst>
            </c:dLbl>
            <c:dLbl>
              <c:idx val="6"/>
              <c:tx>
                <c:rich>
                  <a:bodyPr/>
                  <a:lstStyle/>
                  <a:p>
                    <a:fld id="{3AA3B310-6A43-4B19-8189-0DF554F9F872}"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1054-4336-96EE-D92352778C72}"/>
                </c:ext>
              </c:extLst>
            </c:dLbl>
            <c:dLbl>
              <c:idx val="7"/>
              <c:tx>
                <c:rich>
                  <a:bodyPr/>
                  <a:lstStyle/>
                  <a:p>
                    <a:fld id="{97AC7D10-609F-4D89-BB2A-70F7F86074BC}"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1054-4336-96EE-D92352778C72}"/>
                </c:ext>
              </c:extLst>
            </c:dLbl>
            <c:dLbl>
              <c:idx val="8"/>
              <c:tx>
                <c:rich>
                  <a:bodyPr/>
                  <a:lstStyle/>
                  <a:p>
                    <a:fld id="{28D4D99D-19CB-42DC-9772-321650236DF6}"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1054-4336-96EE-D92352778C72}"/>
                </c:ext>
              </c:extLst>
            </c:dLbl>
            <c:dLbl>
              <c:idx val="9"/>
              <c:tx>
                <c:rich>
                  <a:bodyPr/>
                  <a:lstStyle/>
                  <a:p>
                    <a:fld id="{E30C238D-1F3C-413A-905D-F1082BDF886B}"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1054-4336-96EE-D92352778C72}"/>
                </c:ext>
              </c:extLst>
            </c:dLbl>
            <c:dLbl>
              <c:idx val="10"/>
              <c:tx>
                <c:rich>
                  <a:bodyPr/>
                  <a:lstStyle/>
                  <a:p>
                    <a:fld id="{71BE13F7-DBC7-4F29-88F5-6A95CFF88236}"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1054-4336-96EE-D92352778C72}"/>
                </c:ext>
              </c:extLst>
            </c:dLbl>
            <c:dLbl>
              <c:idx val="11"/>
              <c:tx>
                <c:rich>
                  <a:bodyPr/>
                  <a:lstStyle/>
                  <a:p>
                    <a:fld id="{BF4240AD-66F0-4C93-B3EB-76A16F25185A}"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1054-4336-96EE-D92352778C72}"/>
                </c:ext>
              </c:extLst>
            </c:dLbl>
            <c:dLbl>
              <c:idx val="12"/>
              <c:tx>
                <c:rich>
                  <a:bodyPr/>
                  <a:lstStyle/>
                  <a:p>
                    <a:fld id="{6B997753-D808-4514-9FDB-78445C4D51B8}"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1054-4336-96EE-D92352778C72}"/>
                </c:ext>
              </c:extLst>
            </c:dLbl>
            <c:dLbl>
              <c:idx val="13"/>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054-4336-96EE-D92352778C72}"/>
                </c:ext>
              </c:extLst>
            </c:dLbl>
            <c:dLbl>
              <c:idx val="14"/>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054-4336-96EE-D92352778C72}"/>
                </c:ext>
              </c:extLst>
            </c:dLbl>
            <c:dLbl>
              <c:idx val="1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054-4336-96EE-D92352778C72}"/>
                </c:ext>
              </c:extLst>
            </c:dLbl>
            <c:dLbl>
              <c:idx val="1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1054-4336-96EE-D92352778C72}"/>
                </c:ext>
              </c:extLst>
            </c:dLbl>
            <c:dLbl>
              <c:idx val="17"/>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054-4336-96EE-D92352778C72}"/>
                </c:ext>
              </c:extLst>
            </c:dLbl>
            <c:dLbl>
              <c:idx val="18"/>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054-4336-96EE-D92352778C72}"/>
                </c:ext>
              </c:extLst>
            </c:dLbl>
            <c:dLbl>
              <c:idx val="19"/>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054-4336-96EE-D92352778C72}"/>
                </c:ext>
              </c:extLst>
            </c:dLbl>
            <c:dLbl>
              <c:idx val="20"/>
              <c:tx>
                <c:rich>
                  <a:bodyPr/>
                  <a:lstStyle/>
                  <a:p>
                    <a:fld id="{664663E9-8DC8-43D3-8473-A55ED7DA02AC}"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1054-4336-96EE-D92352778C72}"/>
                </c:ext>
              </c:extLst>
            </c:dLbl>
            <c:dLbl>
              <c:idx val="21"/>
              <c:tx>
                <c:rich>
                  <a:bodyPr/>
                  <a:lstStyle/>
                  <a:p>
                    <a:fld id="{B2DD6DBA-F020-4D21-8AFA-A885BF379AE5}"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1054-4336-96EE-D92352778C72}"/>
                </c:ext>
              </c:extLst>
            </c:dLbl>
            <c:dLbl>
              <c:idx val="22"/>
              <c:tx>
                <c:rich>
                  <a:bodyPr/>
                  <a:lstStyle/>
                  <a:p>
                    <a:fld id="{1F9434D6-45B0-4C79-AFE6-B05B0BCC1BC5}"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1054-4336-96EE-D92352778C72}"/>
                </c:ext>
              </c:extLst>
            </c:dLbl>
            <c:dLbl>
              <c:idx val="23"/>
              <c:tx>
                <c:rich>
                  <a:bodyPr/>
                  <a:lstStyle/>
                  <a:p>
                    <a:fld id="{C4D56E29-498F-43A7-B999-7A56634BDCC1}"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1054-4336-96EE-D92352778C72}"/>
                </c:ext>
              </c:extLst>
            </c:dLbl>
            <c:dLbl>
              <c:idx val="24"/>
              <c:tx>
                <c:rich>
                  <a:bodyPr/>
                  <a:lstStyle/>
                  <a:p>
                    <a:fld id="{4B02D761-EC75-44CE-808E-3953C2CB6757}"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8-1054-4336-96EE-D92352778C72}"/>
                </c:ext>
              </c:extLst>
            </c:dLbl>
            <c:dLbl>
              <c:idx val="25"/>
              <c:tx>
                <c:rich>
                  <a:bodyPr/>
                  <a:lstStyle/>
                  <a:p>
                    <a:fld id="{DDB7AF07-C862-4F6E-9A0D-7D1099EFF454}"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9-1054-4336-96EE-D92352778C72}"/>
                </c:ext>
              </c:extLst>
            </c:dLbl>
            <c:dLbl>
              <c:idx val="26"/>
              <c:tx>
                <c:rich>
                  <a:bodyPr/>
                  <a:lstStyle/>
                  <a:p>
                    <a:fld id="{495A0E13-AA29-4F87-A7AA-2CAE68C56055}"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1054-4336-96EE-D92352778C72}"/>
                </c:ext>
              </c:extLst>
            </c:dLbl>
            <c:dLbl>
              <c:idx val="27"/>
              <c:tx>
                <c:rich>
                  <a:bodyPr/>
                  <a:lstStyle/>
                  <a:p>
                    <a:fld id="{6358A6BC-1A28-4EC1-89A8-2D195F0D2141}"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B-1054-4336-96EE-D92352778C72}"/>
                </c:ext>
              </c:extLst>
            </c:dLbl>
            <c:dLbl>
              <c:idx val="28"/>
              <c:tx>
                <c:rich>
                  <a:bodyPr/>
                  <a:lstStyle/>
                  <a:p>
                    <a:fld id="{182B00FD-4178-4D48-B896-A259B856DB5E}"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C-1054-4336-96EE-D92352778C72}"/>
                </c:ext>
              </c:extLst>
            </c:dLbl>
            <c:dLbl>
              <c:idx val="29"/>
              <c:tx>
                <c:rich>
                  <a:bodyPr/>
                  <a:lstStyle/>
                  <a:p>
                    <a:fld id="{76EFC291-E665-4DA5-9786-4D9EEEC9DD14}"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1054-4336-96EE-D92352778C72}"/>
                </c:ext>
              </c:extLst>
            </c:dLbl>
            <c:dLbl>
              <c:idx val="30"/>
              <c:tx>
                <c:rich>
                  <a:bodyPr/>
                  <a:lstStyle/>
                  <a:p>
                    <a:fld id="{03247031-4EDD-4C3F-8234-4B6A6531FEE8}"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E-1054-4336-96EE-D92352778C72}"/>
                </c:ext>
              </c:extLst>
            </c:dLbl>
            <c:dLbl>
              <c:idx val="31"/>
              <c:tx>
                <c:rich>
                  <a:bodyPr/>
                  <a:lstStyle/>
                  <a:p>
                    <a:fld id="{07DC60CB-0739-4F40-A586-B5BAA0DB68C7}"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F-1054-4336-96EE-D92352778C72}"/>
                </c:ext>
              </c:extLst>
            </c:dLbl>
            <c:dLbl>
              <c:idx val="32"/>
              <c:tx>
                <c:rich>
                  <a:bodyPr/>
                  <a:lstStyle/>
                  <a:p>
                    <a:fld id="{1B458CB0-A2A9-4156-8271-26A6F4098715}"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1054-4336-96EE-D92352778C72}"/>
                </c:ext>
              </c:extLst>
            </c:dLbl>
            <c:dLbl>
              <c:idx val="33"/>
              <c:tx>
                <c:rich>
                  <a:bodyPr/>
                  <a:lstStyle/>
                  <a:p>
                    <a:fld id="{565C36C6-CBBE-4083-BEEC-1582B2B2D52B}"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1-1054-4336-96EE-D92352778C72}"/>
                </c:ext>
              </c:extLst>
            </c:dLbl>
            <c:dLbl>
              <c:idx val="34"/>
              <c:tx>
                <c:rich>
                  <a:bodyPr/>
                  <a:lstStyle/>
                  <a:p>
                    <a:fld id="{63A735C7-5F70-4F80-845F-C50121861570}"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2-1054-4336-96EE-D92352778C72}"/>
                </c:ext>
              </c:extLst>
            </c:dLbl>
            <c:dLbl>
              <c:idx val="35"/>
              <c:tx>
                <c:rich>
                  <a:bodyPr/>
                  <a:lstStyle/>
                  <a:p>
                    <a:fld id="{F409E496-D1F5-49D8-A39D-B1DFC086554A}"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1054-4336-96EE-D92352778C72}"/>
                </c:ext>
              </c:extLst>
            </c:dLbl>
            <c:dLbl>
              <c:idx val="36"/>
              <c:tx>
                <c:rich>
                  <a:bodyPr/>
                  <a:lstStyle/>
                  <a:p>
                    <a:fld id="{C2880580-6235-40E8-9EAC-FF0771AA5375}"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4-1054-4336-96EE-D92352778C72}"/>
                </c:ext>
              </c:extLst>
            </c:dLbl>
            <c:dLbl>
              <c:idx val="37"/>
              <c:tx>
                <c:rich>
                  <a:bodyPr/>
                  <a:lstStyle/>
                  <a:p>
                    <a:fld id="{E7E5925D-045E-482B-9B4D-CA6C813B5E4B}"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5-1054-4336-96EE-D92352778C72}"/>
                </c:ext>
              </c:extLst>
            </c:dLbl>
            <c:dLbl>
              <c:idx val="38"/>
              <c:tx>
                <c:rich>
                  <a:bodyPr/>
                  <a:lstStyle/>
                  <a:p>
                    <a:fld id="{931EA770-7C74-4AFD-A0BE-8A2B3EE6515A}"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1054-4336-96EE-D92352778C72}"/>
                </c:ext>
              </c:extLst>
            </c:dLbl>
            <c:dLbl>
              <c:idx val="39"/>
              <c:tx>
                <c:rich>
                  <a:bodyPr/>
                  <a:lstStyle/>
                  <a:p>
                    <a:fld id="{B46636E9-0D41-4F41-8BA2-26908E40F51D}"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7-1054-4336-96EE-D92352778C72}"/>
                </c:ext>
              </c:extLst>
            </c:dLbl>
            <c:dLbl>
              <c:idx val="40"/>
              <c:tx>
                <c:rich>
                  <a:bodyPr/>
                  <a:lstStyle/>
                  <a:p>
                    <a:fld id="{B586D903-72E0-4398-9723-636F7FD715C7}"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8-1054-4336-96EE-D92352778C72}"/>
                </c:ext>
              </c:extLst>
            </c:dLbl>
            <c:dLbl>
              <c:idx val="41"/>
              <c:tx>
                <c:rich>
                  <a:bodyPr/>
                  <a:lstStyle/>
                  <a:p>
                    <a:fld id="{DA49EFE5-8760-495A-BE03-BAF9E97CF1BF}"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1054-4336-96EE-D92352778C72}"/>
                </c:ext>
              </c:extLst>
            </c:dLbl>
            <c:dLbl>
              <c:idx val="42"/>
              <c:tx>
                <c:rich>
                  <a:bodyPr/>
                  <a:lstStyle/>
                  <a:p>
                    <a:fld id="{47EC765E-ECC8-4F13-A15A-CD0F4435F5A7}"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A-1054-4336-96EE-D92352778C72}"/>
                </c:ext>
              </c:extLst>
            </c:dLbl>
            <c:dLbl>
              <c:idx val="43"/>
              <c:tx>
                <c:rich>
                  <a:bodyPr/>
                  <a:lstStyle/>
                  <a:p>
                    <a:fld id="{0C9E9A71-3E78-40FC-A74F-D52E3183CBDA}"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B-1054-4336-96EE-D92352778C72}"/>
                </c:ext>
              </c:extLst>
            </c:dLbl>
            <c:dLbl>
              <c:idx val="44"/>
              <c:tx>
                <c:rich>
                  <a:bodyPr/>
                  <a:lstStyle/>
                  <a:p>
                    <a:fld id="{895AC93C-0BFC-4A5F-9F3F-374BCA02048E}"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1054-4336-96EE-D92352778C72}"/>
                </c:ext>
              </c:extLst>
            </c:dLbl>
            <c:dLbl>
              <c:idx val="45"/>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D-1054-4336-96EE-D92352778C72}"/>
                </c:ext>
              </c:extLst>
            </c:dLbl>
            <c:dLbl>
              <c:idx val="4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E-1054-4336-96EE-D92352778C72}"/>
                </c:ext>
              </c:extLst>
            </c:dLbl>
            <c:dLbl>
              <c:idx val="47"/>
              <c:tx>
                <c:rich>
                  <a:bodyPr/>
                  <a:lstStyle/>
                  <a:p>
                    <a:fld id="{7FC1321D-AB4B-456A-A293-A7A6213F195E}"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1054-4336-96EE-D92352778C72}"/>
                </c:ext>
              </c:extLst>
            </c:dLbl>
            <c:dLbl>
              <c:idx val="48"/>
              <c:tx>
                <c:rich>
                  <a:bodyPr/>
                  <a:lstStyle/>
                  <a:p>
                    <a:fld id="{DA5A10D3-2EDF-4F19-8E8E-635F1DC7BBA4}"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0-1054-4336-96EE-D92352778C72}"/>
                </c:ext>
              </c:extLst>
            </c:dLbl>
            <c:dLbl>
              <c:idx val="49"/>
              <c:tx>
                <c:rich>
                  <a:bodyPr/>
                  <a:lstStyle/>
                  <a:p>
                    <a:fld id="{2F6C152C-6DD6-4D65-8DB2-E99C6BC15CCC}"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1-1054-4336-96EE-D92352778C72}"/>
                </c:ext>
              </c:extLst>
            </c:dLbl>
            <c:dLbl>
              <c:idx val="50"/>
              <c:tx>
                <c:rich>
                  <a:bodyPr/>
                  <a:lstStyle/>
                  <a:p>
                    <a:fld id="{EA9DBE43-302B-4DCB-B5A6-040CEE898EF5}"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1054-4336-96EE-D92352778C72}"/>
                </c:ext>
              </c:extLst>
            </c:dLbl>
            <c:dLbl>
              <c:idx val="51"/>
              <c:tx>
                <c:rich>
                  <a:bodyPr/>
                  <a:lstStyle/>
                  <a:p>
                    <a:fld id="{2F3D06EF-6B4F-47ED-88C6-81CA978BB4E4}"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3-1054-4336-96EE-D92352778C72}"/>
                </c:ext>
              </c:extLst>
            </c:dLbl>
            <c:dLbl>
              <c:idx val="52"/>
              <c:tx>
                <c:rich>
                  <a:bodyPr/>
                  <a:lstStyle/>
                  <a:p>
                    <a:fld id="{FA183344-19FD-488E-97E2-545CF74FF960}"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4-1054-4336-96EE-D92352778C72}"/>
                </c:ext>
              </c:extLst>
            </c:dLbl>
            <c:dLbl>
              <c:idx val="53"/>
              <c:tx>
                <c:rich>
                  <a:bodyPr/>
                  <a:lstStyle/>
                  <a:p>
                    <a:fld id="{19501692-82E1-424D-9262-5CA314CE578F}"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5-1054-4336-96EE-D92352778C72}"/>
                </c:ext>
              </c:extLst>
            </c:dLbl>
            <c:dLbl>
              <c:idx val="54"/>
              <c:tx>
                <c:rich>
                  <a:bodyPr/>
                  <a:lstStyle/>
                  <a:p>
                    <a:fld id="{74B4B80E-EDE1-476C-A843-8C2E9308FEB1}"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6-1054-4336-96EE-D92352778C72}"/>
                </c:ext>
              </c:extLst>
            </c:dLbl>
            <c:dLbl>
              <c:idx val="55"/>
              <c:tx>
                <c:rich>
                  <a:bodyPr/>
                  <a:lstStyle/>
                  <a:p>
                    <a:fld id="{40D295F7-43D4-42B2-9895-1D69428FD09A}"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7-1054-4336-96EE-D92352778C72}"/>
                </c:ext>
              </c:extLst>
            </c:dLbl>
            <c:dLbl>
              <c:idx val="56"/>
              <c:tx>
                <c:rich>
                  <a:bodyPr/>
                  <a:lstStyle/>
                  <a:p>
                    <a:fld id="{8E6DECE1-E6E3-40FB-B3C5-E97110454EA7}"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8-1054-4336-96EE-D92352778C72}"/>
                </c:ext>
              </c:extLst>
            </c:dLbl>
            <c:dLbl>
              <c:idx val="57"/>
              <c:tx>
                <c:rich>
                  <a:bodyPr/>
                  <a:lstStyle/>
                  <a:p>
                    <a:fld id="{135F3929-64A7-41FD-AB9B-E7FF0229B5F2}"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9-1054-4336-96EE-D92352778C72}"/>
                </c:ext>
              </c:extLst>
            </c:dLbl>
            <c:dLbl>
              <c:idx val="58"/>
              <c:tx>
                <c:rich>
                  <a:bodyPr/>
                  <a:lstStyle/>
                  <a:p>
                    <a:fld id="{6D70C57D-AD8D-4534-878C-CA5FAA10C504}"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A-1054-4336-96EE-D92352778C72}"/>
                </c:ext>
              </c:extLst>
            </c:dLbl>
            <c:dLbl>
              <c:idx val="59"/>
              <c:tx>
                <c:rich>
                  <a:bodyPr/>
                  <a:lstStyle/>
                  <a:p>
                    <a:fld id="{9B0D8EA7-5328-4ED9-AB5D-646D70BAA2A0}"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B-1054-4336-96EE-D92352778C72}"/>
                </c:ext>
              </c:extLst>
            </c:dLbl>
            <c:dLbl>
              <c:idx val="60"/>
              <c:tx>
                <c:rich>
                  <a:bodyPr/>
                  <a:lstStyle/>
                  <a:p>
                    <a:fld id="{38A4EE2C-EAF2-48A0-B161-B02000840E87}"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C-1054-4336-96EE-D92352778C72}"/>
                </c:ext>
              </c:extLst>
            </c:dLbl>
            <c:dLbl>
              <c:idx val="61"/>
              <c:tx>
                <c:rich>
                  <a:bodyPr/>
                  <a:lstStyle/>
                  <a:p>
                    <a:fld id="{A231C424-0533-403F-BF62-0EBC0680D76D}"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D-1054-4336-96EE-D92352778C72}"/>
                </c:ext>
              </c:extLst>
            </c:dLbl>
            <c:dLbl>
              <c:idx val="62"/>
              <c:tx>
                <c:rich>
                  <a:bodyPr/>
                  <a:lstStyle/>
                  <a:p>
                    <a:fld id="{E58E49FE-6401-4E9D-9E3C-0E4F0556D343}"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E-1054-4336-96EE-D92352778C72}"/>
                </c:ext>
              </c:extLst>
            </c:dLbl>
            <c:dLbl>
              <c:idx val="63"/>
              <c:tx>
                <c:rich>
                  <a:bodyPr/>
                  <a:lstStyle/>
                  <a:p>
                    <a:fld id="{5155B896-7AD0-46F8-AA9A-7A9280190E35}"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F-1054-4336-96EE-D92352778C72}"/>
                </c:ext>
              </c:extLst>
            </c:dLbl>
            <c:dLbl>
              <c:idx val="64"/>
              <c:tx>
                <c:rich>
                  <a:bodyPr/>
                  <a:lstStyle/>
                  <a:p>
                    <a:fld id="{94EE9601-E929-48BF-AD0F-73361714C9DC}"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40-1054-4336-96EE-D92352778C72}"/>
                </c:ext>
              </c:extLst>
            </c:dLbl>
            <c:dLbl>
              <c:idx val="65"/>
              <c:tx>
                <c:rich>
                  <a:bodyPr/>
                  <a:lstStyle/>
                  <a:p>
                    <a:fld id="{CAF10465-DCCC-495A-A42E-A59D21EA46CE}" type="CELLRANGE">
                      <a:rPr lang="fr-FR"/>
                      <a:pPr/>
                      <a:t>[PLAGECELL]</a:t>
                    </a:fld>
                    <a:endParaRPr lang="fr-FR"/>
                  </a:p>
                </c:rich>
              </c:tx>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41-1054-4336-96EE-D92352778C72}"/>
                </c:ext>
              </c:extLst>
            </c:dLbl>
            <c:dLbl>
              <c:idx val="66"/>
              <c:tx>
                <c:rich>
                  <a:bodyPr/>
                  <a:lstStyle/>
                  <a:p>
                    <a:endParaRPr lang="en-US"/>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2-1054-4336-96EE-D92352778C72}"/>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xVal>
            <c:numRef>
              <c:f>Sheet1!$P$2:$P$68</c:f>
              <c:numCache>
                <c:formatCode>0%</c:formatCode>
                <c:ptCount val="67"/>
                <c:pt idx="0">
                  <c:v>0.71837488457987075</c:v>
                </c:pt>
                <c:pt idx="1">
                  <c:v>0.71678548282566434</c:v>
                </c:pt>
                <c:pt idx="2">
                  <c:v>0.65791776027996496</c:v>
                </c:pt>
                <c:pt idx="3">
                  <c:v>0.6497512437810945</c:v>
                </c:pt>
                <c:pt idx="4">
                  <c:v>0.79471698113207545</c:v>
                </c:pt>
                <c:pt idx="5">
                  <c:v>0.73010380622837368</c:v>
                </c:pt>
                <c:pt idx="6">
                  <c:v>0.65781710914454272</c:v>
                </c:pt>
                <c:pt idx="7">
                  <c:v>0.7021276595744681</c:v>
                </c:pt>
                <c:pt idx="8">
                  <c:v>0.65415549597855227</c:v>
                </c:pt>
                <c:pt idx="9">
                  <c:v>0.71785922047702155</c:v>
                </c:pt>
                <c:pt idx="10">
                  <c:v>0.71512875536480691</c:v>
                </c:pt>
                <c:pt idx="11">
                  <c:v>0.75908558030480655</c:v>
                </c:pt>
                <c:pt idx="12">
                  <c:v>0.73198847262247835</c:v>
                </c:pt>
                <c:pt idx="13">
                  <c:v>#N/A</c:v>
                </c:pt>
                <c:pt idx="14">
                  <c:v>#N/A</c:v>
                </c:pt>
                <c:pt idx="15">
                  <c:v>#N/A</c:v>
                </c:pt>
                <c:pt idx="16">
                  <c:v>#N/A</c:v>
                </c:pt>
                <c:pt idx="17">
                  <c:v>#N/A</c:v>
                </c:pt>
                <c:pt idx="18">
                  <c:v>#N/A</c:v>
                </c:pt>
                <c:pt idx="19">
                  <c:v>#N/A</c:v>
                </c:pt>
                <c:pt idx="20">
                  <c:v>0</c:v>
                </c:pt>
                <c:pt idx="21">
                  <c:v>0.43934426229508194</c:v>
                </c:pt>
                <c:pt idx="22">
                  <c:v>0.65321100917431196</c:v>
                </c:pt>
                <c:pt idx="23">
                  <c:v>0.25783378746594005</c:v>
                </c:pt>
                <c:pt idx="24">
                  <c:v>0.81916817359855332</c:v>
                </c:pt>
                <c:pt idx="25">
                  <c:v>0</c:v>
                </c:pt>
                <c:pt idx="26">
                  <c:v>0.45136186770428016</c:v>
                </c:pt>
                <c:pt idx="27">
                  <c:v>0.52548131370328421</c:v>
                </c:pt>
                <c:pt idx="28">
                  <c:v>0.71521035598705507</c:v>
                </c:pt>
                <c:pt idx="29">
                  <c:v>0.51886066204772907</c:v>
                </c:pt>
                <c:pt idx="30">
                  <c:v>0.62611806797853309</c:v>
                </c:pt>
                <c:pt idx="31">
                  <c:v>0.49796126401630991</c:v>
                </c:pt>
                <c:pt idx="32">
                  <c:v>0.61398963730569944</c:v>
                </c:pt>
                <c:pt idx="33">
                  <c:v>0.75673166202414111</c:v>
                </c:pt>
                <c:pt idx="34">
                  <c:v>0.76494565217391308</c:v>
                </c:pt>
                <c:pt idx="35">
                  <c:v>0.24896421845574387</c:v>
                </c:pt>
                <c:pt idx="36">
                  <c:v>0.29274783765801732</c:v>
                </c:pt>
                <c:pt idx="37">
                  <c:v>0.76402877697841731</c:v>
                </c:pt>
                <c:pt idx="38">
                  <c:v>0.16942422236929186</c:v>
                </c:pt>
                <c:pt idx="39">
                  <c:v>0.19972640218878249</c:v>
                </c:pt>
                <c:pt idx="40">
                  <c:v>0.41048034934497818</c:v>
                </c:pt>
                <c:pt idx="41">
                  <c:v>0.65405405405405403</c:v>
                </c:pt>
                <c:pt idx="42">
                  <c:v>0.78774617067833697</c:v>
                </c:pt>
                <c:pt idx="43">
                  <c:v>0.65315315315315314</c:v>
                </c:pt>
                <c:pt idx="44">
                  <c:v>0.68831168831168832</c:v>
                </c:pt>
                <c:pt idx="45">
                  <c:v>#N/A</c:v>
                </c:pt>
                <c:pt idx="46">
                  <c:v>#N/A</c:v>
                </c:pt>
                <c:pt idx="47">
                  <c:v>0.5810276679841897</c:v>
                </c:pt>
                <c:pt idx="48">
                  <c:v>0.62564766839378239</c:v>
                </c:pt>
                <c:pt idx="49">
                  <c:v>0.67679222357229651</c:v>
                </c:pt>
                <c:pt idx="50">
                  <c:v>0.56983240223463683</c:v>
                </c:pt>
                <c:pt idx="51">
                  <c:v>0.58376963350785338</c:v>
                </c:pt>
                <c:pt idx="52">
                  <c:v>0.62007623888182972</c:v>
                </c:pt>
                <c:pt idx="53">
                  <c:v>0.6858685868586859</c:v>
                </c:pt>
                <c:pt idx="54">
                  <c:v>0.74402730375426618</c:v>
                </c:pt>
                <c:pt idx="55">
                  <c:v>0.65573770491803274</c:v>
                </c:pt>
                <c:pt idx="56">
                  <c:v>0.5539160045402951</c:v>
                </c:pt>
                <c:pt idx="57">
                  <c:v>0.62134502923976609</c:v>
                </c:pt>
                <c:pt idx="58">
                  <c:v>0.70343137254901966</c:v>
                </c:pt>
                <c:pt idx="59">
                  <c:v>0.66498921639108555</c:v>
                </c:pt>
                <c:pt idx="60">
                  <c:v>0.55038759689922478</c:v>
                </c:pt>
                <c:pt idx="61">
                  <c:v>0.33392698130008902</c:v>
                </c:pt>
                <c:pt idx="62">
                  <c:v>0.61961206896551724</c:v>
                </c:pt>
                <c:pt idx="63">
                  <c:v>0.49460708782742679</c:v>
                </c:pt>
                <c:pt idx="64">
                  <c:v>0.70370370370370372</c:v>
                </c:pt>
                <c:pt idx="65">
                  <c:v>0.8</c:v>
                </c:pt>
                <c:pt idx="66">
                  <c:v>#N/A</c:v>
                </c:pt>
              </c:numCache>
            </c:numRef>
          </c:xVal>
          <c:yVal>
            <c:numRef>
              <c:f>Sheet1!$I$2:$I$68</c:f>
              <c:numCache>
                <c:formatCode>0%</c:formatCode>
                <c:ptCount val="67"/>
                <c:pt idx="0">
                  <c:v>0.99215344376634695</c:v>
                </c:pt>
                <c:pt idx="1">
                  <c:v>1.023071852340145</c:v>
                </c:pt>
                <c:pt idx="2">
                  <c:v>1.000871839581517</c:v>
                </c:pt>
                <c:pt idx="3">
                  <c:v>1.0090090090090089</c:v>
                </c:pt>
                <c:pt idx="4">
                  <c:v>0.98539079620160697</c:v>
                </c:pt>
                <c:pt idx="5">
                  <c:v>0.92756756756756753</c:v>
                </c:pt>
                <c:pt idx="6">
                  <c:v>0.96178937558247901</c:v>
                </c:pt>
                <c:pt idx="7">
                  <c:v>0.98804573804573803</c:v>
                </c:pt>
                <c:pt idx="8">
                  <c:v>1.0162162162162163</c:v>
                </c:pt>
                <c:pt idx="9">
                  <c:v>0.97297297297297303</c:v>
                </c:pt>
                <c:pt idx="10">
                  <c:v>0.90566037735849059</c:v>
                </c:pt>
                <c:pt idx="11">
                  <c:v>0.97628240485383344</c:v>
                </c:pt>
                <c:pt idx="12">
                  <c:v>0.93243243243243246</c:v>
                </c:pt>
                <c:pt idx="13">
                  <c:v>#N/A</c:v>
                </c:pt>
                <c:pt idx="14">
                  <c:v>#N/A</c:v>
                </c:pt>
                <c:pt idx="15">
                  <c:v>#N/A</c:v>
                </c:pt>
                <c:pt idx="16">
                  <c:v>#N/A</c:v>
                </c:pt>
                <c:pt idx="17">
                  <c:v>#N/A</c:v>
                </c:pt>
                <c:pt idx="18">
                  <c:v>#N/A</c:v>
                </c:pt>
                <c:pt idx="19">
                  <c:v>#N/A</c:v>
                </c:pt>
                <c:pt idx="20">
                  <c:v>1.1131756756756757</c:v>
                </c:pt>
                <c:pt idx="21">
                  <c:v>1.8575355016032982</c:v>
                </c:pt>
                <c:pt idx="22">
                  <c:v>1.384542437174016</c:v>
                </c:pt>
                <c:pt idx="23">
                  <c:v>2.263063063063063</c:v>
                </c:pt>
                <c:pt idx="24">
                  <c:v>1.027027027027027</c:v>
                </c:pt>
                <c:pt idx="25">
                  <c:v>1.2094594594594594</c:v>
                </c:pt>
                <c:pt idx="26">
                  <c:v>1.8319050758075148</c:v>
                </c:pt>
                <c:pt idx="27">
                  <c:v>0.93025283347863996</c:v>
                </c:pt>
                <c:pt idx="28">
                  <c:v>0.97297297297297303</c:v>
                </c:pt>
                <c:pt idx="29">
                  <c:v>1.3217503217503217</c:v>
                </c:pt>
                <c:pt idx="30">
                  <c:v>1.3468468468468469</c:v>
                </c:pt>
                <c:pt idx="31">
                  <c:v>1.5593419506462984</c:v>
                </c:pt>
                <c:pt idx="32">
                  <c:v>1.0555984555984557</c:v>
                </c:pt>
                <c:pt idx="33">
                  <c:v>1.0465116279069768</c:v>
                </c:pt>
                <c:pt idx="34">
                  <c:v>1.0823680823680824</c:v>
                </c:pt>
                <c:pt idx="35">
                  <c:v>3.5117117117117118</c:v>
                </c:pt>
                <c:pt idx="36">
                  <c:v>2.9434889434889433</c:v>
                </c:pt>
                <c:pt idx="37">
                  <c:v>0.63540010598834129</c:v>
                </c:pt>
                <c:pt idx="38">
                  <c:v>8.5105105105105103</c:v>
                </c:pt>
                <c:pt idx="39">
                  <c:v>2.3945945945945946</c:v>
                </c:pt>
                <c:pt idx="40">
                  <c:v>1.3991683991683992</c:v>
                </c:pt>
                <c:pt idx="41">
                  <c:v>1.0878378378378379</c:v>
                </c:pt>
                <c:pt idx="42">
                  <c:v>1.027027027027027</c:v>
                </c:pt>
                <c:pt idx="43">
                  <c:v>1.0077220077220077</c:v>
                </c:pt>
                <c:pt idx="44">
                  <c:v>0.8066528066528067</c:v>
                </c:pt>
                <c:pt idx="45">
                  <c:v>#N/A</c:v>
                </c:pt>
                <c:pt idx="46">
                  <c:v>#N/A</c:v>
                </c:pt>
                <c:pt idx="47">
                  <c:v>1.0796586059743956</c:v>
                </c:pt>
                <c:pt idx="48">
                  <c:v>0.77277277277277279</c:v>
                </c:pt>
                <c:pt idx="49">
                  <c:v>1.0110565110565111</c:v>
                </c:pt>
                <c:pt idx="50">
                  <c:v>0.89689689689689689</c:v>
                </c:pt>
                <c:pt idx="51">
                  <c:v>0.64569256756756754</c:v>
                </c:pt>
                <c:pt idx="52">
                  <c:v>1.0914760914760915</c:v>
                </c:pt>
                <c:pt idx="53">
                  <c:v>1.0363466915191053</c:v>
                </c:pt>
                <c:pt idx="54">
                  <c:v>0.60984060984060984</c:v>
                </c:pt>
                <c:pt idx="55">
                  <c:v>0.681551116333725</c:v>
                </c:pt>
                <c:pt idx="56">
                  <c:v>1.036427732079906</c:v>
                </c:pt>
                <c:pt idx="57">
                  <c:v>0.97439544807965861</c:v>
                </c:pt>
                <c:pt idx="58">
                  <c:v>0.94594594594594594</c:v>
                </c:pt>
                <c:pt idx="59">
                  <c:v>1.016800584368152</c:v>
                </c:pt>
                <c:pt idx="60">
                  <c:v>0.99710424710424705</c:v>
                </c:pt>
                <c:pt idx="61">
                  <c:v>1.0117117117117118</c:v>
                </c:pt>
                <c:pt idx="62">
                  <c:v>1.0472972972972974</c:v>
                </c:pt>
                <c:pt idx="63">
                  <c:v>0.97447447447447444</c:v>
                </c:pt>
                <c:pt idx="64">
                  <c:v>0.80180180180180183</c:v>
                </c:pt>
                <c:pt idx="65">
                  <c:v>0.39189189189189189</c:v>
                </c:pt>
                <c:pt idx="66">
                  <c:v>#N/A</c:v>
                </c:pt>
              </c:numCache>
            </c:numRef>
          </c:yVal>
          <c:smooth val="0"/>
          <c:extLst>
            <c:ext xmlns:c15="http://schemas.microsoft.com/office/drawing/2012/chart" uri="{02D57815-91ED-43cb-92C2-25804820EDAC}">
              <c15:datalabelsRange>
                <c15:f>Sheet1!$C$2:$C$68</c15:f>
                <c15:dlblRangeCache>
                  <c:ptCount val="67"/>
                  <c:pt idx="0">
                    <c:v>I_1</c:v>
                  </c:pt>
                  <c:pt idx="1">
                    <c:v>I_2</c:v>
                  </c:pt>
                  <c:pt idx="2">
                    <c:v>I_3</c:v>
                  </c:pt>
                  <c:pt idx="3">
                    <c:v>I_4</c:v>
                  </c:pt>
                  <c:pt idx="4">
                    <c:v>I_5</c:v>
                  </c:pt>
                  <c:pt idx="5">
                    <c:v>I_6</c:v>
                  </c:pt>
                  <c:pt idx="6">
                    <c:v>I_7</c:v>
                  </c:pt>
                  <c:pt idx="7">
                    <c:v>I_8</c:v>
                  </c:pt>
                  <c:pt idx="8">
                    <c:v>I_9</c:v>
                  </c:pt>
                  <c:pt idx="9">
                    <c:v>I_10</c:v>
                  </c:pt>
                  <c:pt idx="10">
                    <c:v>I_11</c:v>
                  </c:pt>
                  <c:pt idx="11">
                    <c:v>I_12</c:v>
                  </c:pt>
                  <c:pt idx="12">
                    <c:v>I_13</c:v>
                  </c:pt>
                  <c:pt idx="13">
                    <c:v>I_14</c:v>
                  </c:pt>
                  <c:pt idx="14">
                    <c:v>I_15</c:v>
                  </c:pt>
                  <c:pt idx="15">
                    <c:v>I_16</c:v>
                  </c:pt>
                  <c:pt idx="16">
                    <c:v>I_17</c:v>
                  </c:pt>
                  <c:pt idx="17">
                    <c:v>I_18</c:v>
                  </c:pt>
                  <c:pt idx="18">
                    <c:v>I_19</c:v>
                  </c:pt>
                  <c:pt idx="19">
                    <c:v>I_20</c:v>
                  </c:pt>
                  <c:pt idx="20">
                    <c:v>II_1</c:v>
                  </c:pt>
                  <c:pt idx="21">
                    <c:v>II_2</c:v>
                  </c:pt>
                  <c:pt idx="22">
                    <c:v>II_3</c:v>
                  </c:pt>
                  <c:pt idx="23">
                    <c:v>II_4</c:v>
                  </c:pt>
                  <c:pt idx="24">
                    <c:v>II_5</c:v>
                  </c:pt>
                  <c:pt idx="25">
                    <c:v>II_6</c:v>
                  </c:pt>
                  <c:pt idx="26">
                    <c:v>II_7</c:v>
                  </c:pt>
                  <c:pt idx="27">
                    <c:v>II_8</c:v>
                  </c:pt>
                  <c:pt idx="28">
                    <c:v>II_9</c:v>
                  </c:pt>
                  <c:pt idx="29">
                    <c:v>II_10</c:v>
                  </c:pt>
                  <c:pt idx="30">
                    <c:v>II_11</c:v>
                  </c:pt>
                  <c:pt idx="31">
                    <c:v>II_12</c:v>
                  </c:pt>
                  <c:pt idx="32">
                    <c:v>II_13</c:v>
                  </c:pt>
                  <c:pt idx="33">
                    <c:v>II_14</c:v>
                  </c:pt>
                  <c:pt idx="34">
                    <c:v>II_15</c:v>
                  </c:pt>
                  <c:pt idx="35">
                    <c:v>II_16</c:v>
                  </c:pt>
                  <c:pt idx="36">
                    <c:v>II_17</c:v>
                  </c:pt>
                  <c:pt idx="37">
                    <c:v>II_18</c:v>
                  </c:pt>
                  <c:pt idx="38">
                    <c:v>II_19</c:v>
                  </c:pt>
                  <c:pt idx="39">
                    <c:v>II_20</c:v>
                  </c:pt>
                  <c:pt idx="40">
                    <c:v>II_21</c:v>
                  </c:pt>
                  <c:pt idx="41">
                    <c:v>II_22</c:v>
                  </c:pt>
                  <c:pt idx="42">
                    <c:v>II_23</c:v>
                  </c:pt>
                  <c:pt idx="43">
                    <c:v>II_24</c:v>
                  </c:pt>
                  <c:pt idx="44">
                    <c:v>II_25</c:v>
                  </c:pt>
                  <c:pt idx="45">
                    <c:v>II_26</c:v>
                  </c:pt>
                  <c:pt idx="46">
                    <c:v>II_27</c:v>
                  </c:pt>
                  <c:pt idx="47">
                    <c:v>III_1</c:v>
                  </c:pt>
                  <c:pt idx="48">
                    <c:v>III_2</c:v>
                  </c:pt>
                  <c:pt idx="49">
                    <c:v>III_3</c:v>
                  </c:pt>
                  <c:pt idx="50">
                    <c:v>III_4</c:v>
                  </c:pt>
                  <c:pt idx="51">
                    <c:v>III_5</c:v>
                  </c:pt>
                  <c:pt idx="52">
                    <c:v>III_6</c:v>
                  </c:pt>
                  <c:pt idx="53">
                    <c:v>III_7</c:v>
                  </c:pt>
                  <c:pt idx="54">
                    <c:v>III_8</c:v>
                  </c:pt>
                  <c:pt idx="55">
                    <c:v>III_9</c:v>
                  </c:pt>
                  <c:pt idx="56">
                    <c:v>III_10</c:v>
                  </c:pt>
                  <c:pt idx="57">
                    <c:v>III_11</c:v>
                  </c:pt>
                  <c:pt idx="58">
                    <c:v>III_12</c:v>
                  </c:pt>
                  <c:pt idx="59">
                    <c:v>III_13</c:v>
                  </c:pt>
                  <c:pt idx="60">
                    <c:v>III_14</c:v>
                  </c:pt>
                  <c:pt idx="61">
                    <c:v>III_15</c:v>
                  </c:pt>
                  <c:pt idx="62">
                    <c:v>III_16</c:v>
                  </c:pt>
                  <c:pt idx="63">
                    <c:v>III_17</c:v>
                  </c:pt>
                  <c:pt idx="64">
                    <c:v>III_18</c:v>
                  </c:pt>
                  <c:pt idx="65">
                    <c:v>III_19</c:v>
                  </c:pt>
                  <c:pt idx="66">
                    <c:v>III_20</c:v>
                  </c:pt>
                </c15:dlblRangeCache>
              </c15:datalabelsRange>
            </c:ext>
            <c:ext xmlns:c16="http://schemas.microsoft.com/office/drawing/2014/chart" uri="{C3380CC4-5D6E-409C-BE32-E72D297353CC}">
              <c16:uniqueId val="{00000043-1054-4336-96EE-D92352778C72}"/>
            </c:ext>
          </c:extLst>
        </c:ser>
        <c:dLbls>
          <c:showLegendKey val="0"/>
          <c:showVal val="0"/>
          <c:showCatName val="0"/>
          <c:showSerName val="0"/>
          <c:showPercent val="0"/>
          <c:showBubbleSize val="0"/>
        </c:dLbls>
        <c:axId val="814006703"/>
        <c:axId val="813768191"/>
      </c:scatterChart>
      <c:valAx>
        <c:axId val="81400670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Part des DOI des</a:t>
                </a:r>
                <a:r>
                  <a:rPr lang="fr-FR" baseline="0"/>
                  <a:t> fichiers BIB retrouvées par la reconnaissance des DOI des PDF</a:t>
                </a:r>
                <a:r>
                  <a:rPr lang="fr-FR"/>
                  <a:t> </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813768191"/>
        <c:crosses val="autoZero"/>
        <c:crossBetween val="midCat"/>
      </c:valAx>
      <c:valAx>
        <c:axId val="813768191"/>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Ratio total références</a:t>
                </a:r>
                <a:r>
                  <a:rPr lang="fr-FR" baseline="0"/>
                  <a:t> BIB sur total références attendues d'après les PDF</a:t>
                </a:r>
                <a:endParaRPr lang="fr-F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0%"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81400670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Sheet1!$E$1</c:f>
              <c:strCache>
                <c:ptCount val="1"/>
                <c:pt idx="0">
                  <c:v>Nb_publications_doi_harmonises_uniques_France_HAL</c:v>
                </c:pt>
              </c:strCache>
            </c:strRef>
          </c:tx>
          <c:spPr>
            <a:ln w="19050" cap="rnd">
              <a:noFill/>
              <a:round/>
            </a:ln>
            <a:effectLst/>
          </c:spPr>
          <c:marker>
            <c:symbol val="circle"/>
            <c:size val="5"/>
            <c:spPr>
              <a:solidFill>
                <a:schemeClr val="accent1"/>
              </a:solidFill>
              <a:ln w="9525">
                <a:solidFill>
                  <a:schemeClr val="accent1"/>
                </a:solidFill>
              </a:ln>
              <a:effectLst/>
            </c:spPr>
          </c:marker>
          <c:dLbls>
            <c:dLbl>
              <c:idx val="0"/>
              <c:tx>
                <c:rich>
                  <a:bodyPr/>
                  <a:lstStyle/>
                  <a:p>
                    <a:fld id="{BDBE80E5-C680-4945-9E57-998423A81B2B}" type="CELLRANGE">
                      <a:rPr lang="en-US"/>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2AF6-46D4-83D1-F56EC818061D}"/>
                </c:ext>
              </c:extLst>
            </c:dLbl>
            <c:dLbl>
              <c:idx val="1"/>
              <c:tx>
                <c:rich>
                  <a:bodyPr/>
                  <a:lstStyle/>
                  <a:p>
                    <a:fld id="{CA9EAC3F-17E0-4424-9150-A26EF51508F3}"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1-2AF6-46D4-83D1-F56EC818061D}"/>
                </c:ext>
              </c:extLst>
            </c:dLbl>
            <c:dLbl>
              <c:idx val="2"/>
              <c:tx>
                <c:rich>
                  <a:bodyPr/>
                  <a:lstStyle/>
                  <a:p>
                    <a:fld id="{4230AEDC-E765-4CAE-A74F-9338E108BD7C}"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2-2AF6-46D4-83D1-F56EC818061D}"/>
                </c:ext>
              </c:extLst>
            </c:dLbl>
            <c:dLbl>
              <c:idx val="3"/>
              <c:tx>
                <c:rich>
                  <a:bodyPr/>
                  <a:lstStyle/>
                  <a:p>
                    <a:fld id="{EA9F8226-9879-4679-97B1-F9C8DC1ABC76}"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3-2AF6-46D4-83D1-F56EC818061D}"/>
                </c:ext>
              </c:extLst>
            </c:dLbl>
            <c:dLbl>
              <c:idx val="4"/>
              <c:tx>
                <c:rich>
                  <a:bodyPr/>
                  <a:lstStyle/>
                  <a:p>
                    <a:fld id="{1F2CA425-D69F-4DFB-A570-D9A7CBFB9823}"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4-2AF6-46D4-83D1-F56EC818061D}"/>
                </c:ext>
              </c:extLst>
            </c:dLbl>
            <c:dLbl>
              <c:idx val="5"/>
              <c:tx>
                <c:rich>
                  <a:bodyPr/>
                  <a:lstStyle/>
                  <a:p>
                    <a:fld id="{860FFF85-E0D4-4D97-A295-8CD60816870C}"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5-2AF6-46D4-83D1-F56EC818061D}"/>
                </c:ext>
              </c:extLst>
            </c:dLbl>
            <c:dLbl>
              <c:idx val="6"/>
              <c:tx>
                <c:rich>
                  <a:bodyPr/>
                  <a:lstStyle/>
                  <a:p>
                    <a:fld id="{53A2A148-C90A-478F-8396-69C04020DEB7}"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6-2AF6-46D4-83D1-F56EC818061D}"/>
                </c:ext>
              </c:extLst>
            </c:dLbl>
            <c:dLbl>
              <c:idx val="7"/>
              <c:tx>
                <c:rich>
                  <a:bodyPr/>
                  <a:lstStyle/>
                  <a:p>
                    <a:fld id="{62CFD22C-DF44-460E-83BA-9A14506BA33C}"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7-2AF6-46D4-83D1-F56EC818061D}"/>
                </c:ext>
              </c:extLst>
            </c:dLbl>
            <c:dLbl>
              <c:idx val="8"/>
              <c:tx>
                <c:rich>
                  <a:bodyPr/>
                  <a:lstStyle/>
                  <a:p>
                    <a:fld id="{CE3CA7FB-E9F1-4E6C-B363-C3057D7593DB}"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2AF6-46D4-83D1-F56EC818061D}"/>
                </c:ext>
              </c:extLst>
            </c:dLbl>
            <c:dLbl>
              <c:idx val="9"/>
              <c:tx>
                <c:rich>
                  <a:bodyPr/>
                  <a:lstStyle/>
                  <a:p>
                    <a:fld id="{1DEF2055-9924-459E-BD75-FD749624532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2AF6-46D4-83D1-F56EC818061D}"/>
                </c:ext>
              </c:extLst>
            </c:dLbl>
            <c:dLbl>
              <c:idx val="10"/>
              <c:tx>
                <c:rich>
                  <a:bodyPr/>
                  <a:lstStyle/>
                  <a:p>
                    <a:fld id="{A444CFA8-6492-4B9F-955D-669602ABD5D5}"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A-2AF6-46D4-83D1-F56EC818061D}"/>
                </c:ext>
              </c:extLst>
            </c:dLbl>
            <c:dLbl>
              <c:idx val="11"/>
              <c:tx>
                <c:rich>
                  <a:bodyPr/>
                  <a:lstStyle/>
                  <a:p>
                    <a:fld id="{C3D73FE1-1691-4313-A0D8-8289709DF1C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B-2AF6-46D4-83D1-F56EC818061D}"/>
                </c:ext>
              </c:extLst>
            </c:dLbl>
            <c:dLbl>
              <c:idx val="12"/>
              <c:tx>
                <c:rich>
                  <a:bodyPr/>
                  <a:lstStyle/>
                  <a:p>
                    <a:fld id="{0C3D23D0-F9F0-4B5B-9A57-F448ADC5B579}"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C-2AF6-46D4-83D1-F56EC818061D}"/>
                </c:ext>
              </c:extLst>
            </c:dLbl>
            <c:dLbl>
              <c:idx val="13"/>
              <c:tx>
                <c:rich>
                  <a:bodyPr/>
                  <a:lstStyle/>
                  <a:p>
                    <a:fld id="{519C8496-3446-4311-A759-758FE22232EB}"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D-2AF6-46D4-83D1-F56EC818061D}"/>
                </c:ext>
              </c:extLst>
            </c:dLbl>
            <c:dLbl>
              <c:idx val="14"/>
              <c:tx>
                <c:rich>
                  <a:bodyPr/>
                  <a:lstStyle/>
                  <a:p>
                    <a:fld id="{29F74E64-0FB6-4429-AA7B-8A323B34EC4A}"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E-2AF6-46D4-83D1-F56EC818061D}"/>
                </c:ext>
              </c:extLst>
            </c:dLbl>
            <c:dLbl>
              <c:idx val="15"/>
              <c:tx>
                <c:rich>
                  <a:bodyPr/>
                  <a:lstStyle/>
                  <a:p>
                    <a:fld id="{BC3689E2-6C06-481D-81A6-5AF9188B9F3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F-2AF6-46D4-83D1-F56EC818061D}"/>
                </c:ext>
              </c:extLst>
            </c:dLbl>
            <c:dLbl>
              <c:idx val="16"/>
              <c:tx>
                <c:rich>
                  <a:bodyPr/>
                  <a:lstStyle/>
                  <a:p>
                    <a:fld id="{09182BA6-5E05-474D-8BCA-1077B5F99C4F}"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0-2AF6-46D4-83D1-F56EC818061D}"/>
                </c:ext>
              </c:extLst>
            </c:dLbl>
            <c:dLbl>
              <c:idx val="17"/>
              <c:tx>
                <c:rich>
                  <a:bodyPr/>
                  <a:lstStyle/>
                  <a:p>
                    <a:fld id="{E2A97649-16AE-42A7-A3D1-CAE279621CDB}"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1-2AF6-46D4-83D1-F56EC818061D}"/>
                </c:ext>
              </c:extLst>
            </c:dLbl>
            <c:dLbl>
              <c:idx val="18"/>
              <c:tx>
                <c:rich>
                  <a:bodyPr/>
                  <a:lstStyle/>
                  <a:p>
                    <a:fld id="{FD89E9C3-48FE-4B3A-B333-8E2638B81833}"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2-2AF6-46D4-83D1-F56EC818061D}"/>
                </c:ext>
              </c:extLst>
            </c:dLbl>
            <c:dLbl>
              <c:idx val="19"/>
              <c:tx>
                <c:rich>
                  <a:bodyPr/>
                  <a:lstStyle/>
                  <a:p>
                    <a:fld id="{5071DAFE-C77C-4ABE-BD13-E675AC32CBA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3-2AF6-46D4-83D1-F56EC818061D}"/>
                </c:ext>
              </c:extLst>
            </c:dLbl>
            <c:dLbl>
              <c:idx val="20"/>
              <c:tx>
                <c:rich>
                  <a:bodyPr/>
                  <a:lstStyle/>
                  <a:p>
                    <a:fld id="{078E3894-BEC9-4055-9AB8-83D4B12D75EE}"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4-2AF6-46D4-83D1-F56EC818061D}"/>
                </c:ext>
              </c:extLst>
            </c:dLbl>
            <c:dLbl>
              <c:idx val="21"/>
              <c:tx>
                <c:rich>
                  <a:bodyPr/>
                  <a:lstStyle/>
                  <a:p>
                    <a:fld id="{E42DA556-A435-4150-9BFE-17F40914A18D}"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5-2AF6-46D4-83D1-F56EC818061D}"/>
                </c:ext>
              </c:extLst>
            </c:dLbl>
            <c:dLbl>
              <c:idx val="22"/>
              <c:tx>
                <c:rich>
                  <a:bodyPr/>
                  <a:lstStyle/>
                  <a:p>
                    <a:fld id="{BA7277AC-D1AB-4706-BB25-4ABFCE41E5CC}"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6-2AF6-46D4-83D1-F56EC818061D}"/>
                </c:ext>
              </c:extLst>
            </c:dLbl>
            <c:dLbl>
              <c:idx val="23"/>
              <c:tx>
                <c:rich>
                  <a:bodyPr/>
                  <a:lstStyle/>
                  <a:p>
                    <a:fld id="{EE3B5F37-D737-4779-AB41-E00B8BA00022}"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7-2AF6-46D4-83D1-F56EC818061D}"/>
                </c:ext>
              </c:extLst>
            </c:dLbl>
            <c:dLbl>
              <c:idx val="24"/>
              <c:tx>
                <c:rich>
                  <a:bodyPr/>
                  <a:lstStyle/>
                  <a:p>
                    <a:fld id="{F5D10288-5BEC-4630-A65D-D5516B6D199E}"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8-2AF6-46D4-83D1-F56EC818061D}"/>
                </c:ext>
              </c:extLst>
            </c:dLbl>
            <c:dLbl>
              <c:idx val="25"/>
              <c:tx>
                <c:rich>
                  <a:bodyPr/>
                  <a:lstStyle/>
                  <a:p>
                    <a:fld id="{E50EBB91-0230-46C4-89F1-F8632913B41C}"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9-2AF6-46D4-83D1-F56EC818061D}"/>
                </c:ext>
              </c:extLst>
            </c:dLbl>
            <c:dLbl>
              <c:idx val="26"/>
              <c:tx>
                <c:rich>
                  <a:bodyPr/>
                  <a:lstStyle/>
                  <a:p>
                    <a:fld id="{CBCC5E0C-0F0A-4A6C-A642-07EDC8F01C8D}"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A-2AF6-46D4-83D1-F56EC818061D}"/>
                </c:ext>
              </c:extLst>
            </c:dLbl>
            <c:dLbl>
              <c:idx val="27"/>
              <c:tx>
                <c:rich>
                  <a:bodyPr/>
                  <a:lstStyle/>
                  <a:p>
                    <a:fld id="{67836C9C-8274-427C-84CD-2EAFD5F2F1B5}"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B-2AF6-46D4-83D1-F56EC818061D}"/>
                </c:ext>
              </c:extLst>
            </c:dLbl>
            <c:dLbl>
              <c:idx val="28"/>
              <c:tx>
                <c:rich>
                  <a:bodyPr/>
                  <a:lstStyle/>
                  <a:p>
                    <a:fld id="{F80C28E2-6E65-4C7F-B169-F79D019B2F02}"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C-2AF6-46D4-83D1-F56EC818061D}"/>
                </c:ext>
              </c:extLst>
            </c:dLbl>
            <c:dLbl>
              <c:idx val="29"/>
              <c:tx>
                <c:rich>
                  <a:bodyPr/>
                  <a:lstStyle/>
                  <a:p>
                    <a:fld id="{E94F7591-A3AE-4C05-BCBB-80917A5CB2DC}"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D-2AF6-46D4-83D1-F56EC818061D}"/>
                </c:ext>
              </c:extLst>
            </c:dLbl>
            <c:dLbl>
              <c:idx val="30"/>
              <c:tx>
                <c:rich>
                  <a:bodyPr/>
                  <a:lstStyle/>
                  <a:p>
                    <a:fld id="{BE4F6E5C-382A-497A-9B06-E0088D5F8BAD}"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E-2AF6-46D4-83D1-F56EC818061D}"/>
                </c:ext>
              </c:extLst>
            </c:dLbl>
            <c:dLbl>
              <c:idx val="31"/>
              <c:tx>
                <c:rich>
                  <a:bodyPr/>
                  <a:lstStyle/>
                  <a:p>
                    <a:fld id="{7FFDF86D-1175-4C1F-9104-AF6F9D905662}"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1F-2AF6-46D4-83D1-F56EC818061D}"/>
                </c:ext>
              </c:extLst>
            </c:dLbl>
            <c:dLbl>
              <c:idx val="32"/>
              <c:tx>
                <c:rich>
                  <a:bodyPr/>
                  <a:lstStyle/>
                  <a:p>
                    <a:fld id="{045F6BEB-E8EB-4EC7-879D-4B5FF6E6EC36}"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0-2AF6-46D4-83D1-F56EC818061D}"/>
                </c:ext>
              </c:extLst>
            </c:dLbl>
            <c:dLbl>
              <c:idx val="33"/>
              <c:tx>
                <c:rich>
                  <a:bodyPr/>
                  <a:lstStyle/>
                  <a:p>
                    <a:fld id="{CCA9176D-8473-4D9A-8C99-84B9088A6194}"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1-2AF6-46D4-83D1-F56EC818061D}"/>
                </c:ext>
              </c:extLst>
            </c:dLbl>
            <c:dLbl>
              <c:idx val="34"/>
              <c:tx>
                <c:rich>
                  <a:bodyPr/>
                  <a:lstStyle/>
                  <a:p>
                    <a:fld id="{5C5380D3-C16E-402E-9028-223C2A3B0199}"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2-2AF6-46D4-83D1-F56EC818061D}"/>
                </c:ext>
              </c:extLst>
            </c:dLbl>
            <c:dLbl>
              <c:idx val="35"/>
              <c:tx>
                <c:rich>
                  <a:bodyPr/>
                  <a:lstStyle/>
                  <a:p>
                    <a:fld id="{E8CDC27F-8F99-43A2-8622-9F7C1DF975A4}"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3-2AF6-46D4-83D1-F56EC818061D}"/>
                </c:ext>
              </c:extLst>
            </c:dLbl>
            <c:dLbl>
              <c:idx val="36"/>
              <c:tx>
                <c:rich>
                  <a:bodyPr/>
                  <a:lstStyle/>
                  <a:p>
                    <a:fld id="{075B0DD5-076C-48CB-BE90-EC373DB84CEF}"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4-2AF6-46D4-83D1-F56EC818061D}"/>
                </c:ext>
              </c:extLst>
            </c:dLbl>
            <c:dLbl>
              <c:idx val="37"/>
              <c:tx>
                <c:rich>
                  <a:bodyPr/>
                  <a:lstStyle/>
                  <a:p>
                    <a:fld id="{3ED4CE69-501A-4143-953E-890863A857CC}"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5-2AF6-46D4-83D1-F56EC818061D}"/>
                </c:ext>
              </c:extLst>
            </c:dLbl>
            <c:dLbl>
              <c:idx val="38"/>
              <c:tx>
                <c:rich>
                  <a:bodyPr/>
                  <a:lstStyle/>
                  <a:p>
                    <a:fld id="{858AA534-0D2B-4359-9510-D27AB3844848}"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6-2AF6-46D4-83D1-F56EC818061D}"/>
                </c:ext>
              </c:extLst>
            </c:dLbl>
            <c:dLbl>
              <c:idx val="39"/>
              <c:tx>
                <c:rich>
                  <a:bodyPr/>
                  <a:lstStyle/>
                  <a:p>
                    <a:fld id="{5065031D-0ABE-4915-BD2C-74F9A7396760}"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7-2AF6-46D4-83D1-F56EC818061D}"/>
                </c:ext>
              </c:extLst>
            </c:dLbl>
            <c:dLbl>
              <c:idx val="40"/>
              <c:tx>
                <c:rich>
                  <a:bodyPr/>
                  <a:lstStyle/>
                  <a:p>
                    <a:fld id="{AA6C3688-F582-4A8F-B581-7EED44C8F2CF}"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8-2AF6-46D4-83D1-F56EC818061D}"/>
                </c:ext>
              </c:extLst>
            </c:dLbl>
            <c:dLbl>
              <c:idx val="41"/>
              <c:tx>
                <c:rich>
                  <a:bodyPr/>
                  <a:lstStyle/>
                  <a:p>
                    <a:fld id="{FB3A7EA9-7640-416B-9E4E-2FB344734218}"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9-2AF6-46D4-83D1-F56EC818061D}"/>
                </c:ext>
              </c:extLst>
            </c:dLbl>
            <c:dLbl>
              <c:idx val="42"/>
              <c:tx>
                <c:rich>
                  <a:bodyPr/>
                  <a:lstStyle/>
                  <a:p>
                    <a:fld id="{8733F34A-8077-4FAE-989F-5BBCD0406F4E}"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A-2AF6-46D4-83D1-F56EC818061D}"/>
                </c:ext>
              </c:extLst>
            </c:dLbl>
            <c:dLbl>
              <c:idx val="43"/>
              <c:tx>
                <c:rich>
                  <a:bodyPr/>
                  <a:lstStyle/>
                  <a:p>
                    <a:fld id="{A675EAF9-3ED4-4104-9BB5-87BF5FA1EC58}"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B-2AF6-46D4-83D1-F56EC818061D}"/>
                </c:ext>
              </c:extLst>
            </c:dLbl>
            <c:dLbl>
              <c:idx val="44"/>
              <c:tx>
                <c:rich>
                  <a:bodyPr/>
                  <a:lstStyle/>
                  <a:p>
                    <a:fld id="{9C59B715-5257-4B5B-9415-2C5C17D9A0C8}"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C-2AF6-46D4-83D1-F56EC818061D}"/>
                </c:ext>
              </c:extLst>
            </c:dLbl>
            <c:dLbl>
              <c:idx val="45"/>
              <c:tx>
                <c:rich>
                  <a:bodyPr/>
                  <a:lstStyle/>
                  <a:p>
                    <a:fld id="{5E422394-1672-4733-B59B-4638A2257B47}"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D-2AF6-46D4-83D1-F56EC818061D}"/>
                </c:ext>
              </c:extLst>
            </c:dLbl>
            <c:dLbl>
              <c:idx val="46"/>
              <c:tx>
                <c:rich>
                  <a:bodyPr/>
                  <a:lstStyle/>
                  <a:p>
                    <a:fld id="{E2A9F672-B070-45C1-ABFE-17EBA84FD1B0}"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E-2AF6-46D4-83D1-F56EC818061D}"/>
                </c:ext>
              </c:extLst>
            </c:dLbl>
            <c:dLbl>
              <c:idx val="47"/>
              <c:tx>
                <c:rich>
                  <a:bodyPr/>
                  <a:lstStyle/>
                  <a:p>
                    <a:fld id="{7CC84467-B1A0-465C-BD94-A70BA23E380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2F-2AF6-46D4-83D1-F56EC818061D}"/>
                </c:ext>
              </c:extLst>
            </c:dLbl>
            <c:dLbl>
              <c:idx val="48"/>
              <c:tx>
                <c:rich>
                  <a:bodyPr/>
                  <a:lstStyle/>
                  <a:p>
                    <a:fld id="{0DB6EDB5-7FB2-4E5D-A1CF-ED1EB24C0B7E}"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0-2AF6-46D4-83D1-F56EC818061D}"/>
                </c:ext>
              </c:extLst>
            </c:dLbl>
            <c:dLbl>
              <c:idx val="49"/>
              <c:tx>
                <c:rich>
                  <a:bodyPr/>
                  <a:lstStyle/>
                  <a:p>
                    <a:fld id="{DB22E282-3FE6-4544-9CF5-7FBF2025CB5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1-2AF6-46D4-83D1-F56EC818061D}"/>
                </c:ext>
              </c:extLst>
            </c:dLbl>
            <c:dLbl>
              <c:idx val="50"/>
              <c:tx>
                <c:rich>
                  <a:bodyPr/>
                  <a:lstStyle/>
                  <a:p>
                    <a:fld id="{7B8AF878-D302-417C-BB6D-152F4625478F}"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2-2AF6-46D4-83D1-F56EC818061D}"/>
                </c:ext>
              </c:extLst>
            </c:dLbl>
            <c:dLbl>
              <c:idx val="51"/>
              <c:tx>
                <c:rich>
                  <a:bodyPr/>
                  <a:lstStyle/>
                  <a:p>
                    <a:fld id="{6CDFFBD7-FBD3-45F8-8E51-B365CD76DAE4}"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3-2AF6-46D4-83D1-F56EC818061D}"/>
                </c:ext>
              </c:extLst>
            </c:dLbl>
            <c:dLbl>
              <c:idx val="52"/>
              <c:tx>
                <c:rich>
                  <a:bodyPr/>
                  <a:lstStyle/>
                  <a:p>
                    <a:fld id="{589AE066-F322-4EA2-BB5F-D63E94EC2216}"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4-2AF6-46D4-83D1-F56EC818061D}"/>
                </c:ext>
              </c:extLst>
            </c:dLbl>
            <c:dLbl>
              <c:idx val="53"/>
              <c:tx>
                <c:rich>
                  <a:bodyPr/>
                  <a:lstStyle/>
                  <a:p>
                    <a:fld id="{1214918C-BD62-4F95-8141-B281BB7BD08D}"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5-2AF6-46D4-83D1-F56EC818061D}"/>
                </c:ext>
              </c:extLst>
            </c:dLbl>
            <c:dLbl>
              <c:idx val="54"/>
              <c:tx>
                <c:rich>
                  <a:bodyPr/>
                  <a:lstStyle/>
                  <a:p>
                    <a:fld id="{00101B09-D452-405E-A81B-670D5492D9A3}"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6-2AF6-46D4-83D1-F56EC818061D}"/>
                </c:ext>
              </c:extLst>
            </c:dLbl>
            <c:dLbl>
              <c:idx val="55"/>
              <c:tx>
                <c:rich>
                  <a:bodyPr/>
                  <a:lstStyle/>
                  <a:p>
                    <a:fld id="{DF657CF7-04D7-4414-92B5-AAD641DA3C3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7-2AF6-46D4-83D1-F56EC818061D}"/>
                </c:ext>
              </c:extLst>
            </c:dLbl>
            <c:dLbl>
              <c:idx val="56"/>
              <c:tx>
                <c:rich>
                  <a:bodyPr/>
                  <a:lstStyle/>
                  <a:p>
                    <a:fld id="{7EAD0E4E-9895-43CC-B422-3F4A5EB6DCD7}"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8-2AF6-46D4-83D1-F56EC818061D}"/>
                </c:ext>
              </c:extLst>
            </c:dLbl>
            <c:dLbl>
              <c:idx val="57"/>
              <c:tx>
                <c:rich>
                  <a:bodyPr/>
                  <a:lstStyle/>
                  <a:p>
                    <a:fld id="{471FD280-30B9-4CB7-BA34-E160B70EDF3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9-2AF6-46D4-83D1-F56EC818061D}"/>
                </c:ext>
              </c:extLst>
            </c:dLbl>
            <c:dLbl>
              <c:idx val="58"/>
              <c:tx>
                <c:rich>
                  <a:bodyPr/>
                  <a:lstStyle/>
                  <a:p>
                    <a:fld id="{AADBBE79-B3FF-4A12-9D3C-AC241B65371B}"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A-2AF6-46D4-83D1-F56EC818061D}"/>
                </c:ext>
              </c:extLst>
            </c:dLbl>
            <c:dLbl>
              <c:idx val="59"/>
              <c:tx>
                <c:rich>
                  <a:bodyPr/>
                  <a:lstStyle/>
                  <a:p>
                    <a:fld id="{368C6B93-9A96-4F26-AC02-D9555A73D641}"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B-2AF6-46D4-83D1-F56EC818061D}"/>
                </c:ext>
              </c:extLst>
            </c:dLbl>
            <c:dLbl>
              <c:idx val="60"/>
              <c:tx>
                <c:rich>
                  <a:bodyPr/>
                  <a:lstStyle/>
                  <a:p>
                    <a:fld id="{BEF7F5A7-B85C-44B8-8066-2FCC17113933}"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C-2AF6-46D4-83D1-F56EC818061D}"/>
                </c:ext>
              </c:extLst>
            </c:dLbl>
            <c:dLbl>
              <c:idx val="61"/>
              <c:tx>
                <c:rich>
                  <a:bodyPr/>
                  <a:lstStyle/>
                  <a:p>
                    <a:fld id="{5F472430-18DB-484B-95DE-7806427F20B9}"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D-2AF6-46D4-83D1-F56EC818061D}"/>
                </c:ext>
              </c:extLst>
            </c:dLbl>
            <c:dLbl>
              <c:idx val="62"/>
              <c:tx>
                <c:rich>
                  <a:bodyPr/>
                  <a:lstStyle/>
                  <a:p>
                    <a:fld id="{3A2DBC45-27F2-4963-8A8C-7D6322048195}"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E-2AF6-46D4-83D1-F56EC818061D}"/>
                </c:ext>
              </c:extLst>
            </c:dLbl>
            <c:dLbl>
              <c:idx val="63"/>
              <c:tx>
                <c:rich>
                  <a:bodyPr/>
                  <a:lstStyle/>
                  <a:p>
                    <a:fld id="{2C7043AD-8E2E-41FE-90DA-C5868FB1771A}"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3F-2AF6-46D4-83D1-F56EC818061D}"/>
                </c:ext>
              </c:extLst>
            </c:dLbl>
            <c:dLbl>
              <c:idx val="64"/>
              <c:tx>
                <c:rich>
                  <a:bodyPr/>
                  <a:lstStyle/>
                  <a:p>
                    <a:fld id="{D12704C2-AC07-4CC1-9B99-320807C473AE}"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40-2AF6-46D4-83D1-F56EC818061D}"/>
                </c:ext>
              </c:extLst>
            </c:dLbl>
            <c:dLbl>
              <c:idx val="65"/>
              <c:tx>
                <c:rich>
                  <a:bodyPr/>
                  <a:lstStyle/>
                  <a:p>
                    <a:fld id="{D2C030EC-1949-415B-AFA5-140AA07CB0D8}"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41-2AF6-46D4-83D1-F56EC818061D}"/>
                </c:ext>
              </c:extLst>
            </c:dLbl>
            <c:dLbl>
              <c:idx val="66"/>
              <c:tx>
                <c:rich>
                  <a:bodyPr/>
                  <a:lstStyle/>
                  <a:p>
                    <a:fld id="{6D29256A-2287-48C1-9E17-5A2DA986059D}"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42-2AF6-46D4-83D1-F56EC818061D}"/>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fr-FR"/>
              </a:p>
            </c:txPr>
            <c:dLblPos val="t"/>
            <c:showLegendKey val="0"/>
            <c:showVal val="0"/>
            <c:showCatName val="0"/>
            <c:showSerName val="0"/>
            <c:showPercent val="0"/>
            <c:showBubbleSize val="0"/>
            <c:showLeaderLines val="0"/>
            <c:extLst>
              <c:ext xmlns:c15="http://schemas.microsoft.com/office/drawing/2012/chart" uri="{CE6537A1-D6FC-4f65-9D91-7224C49458BB}">
                <c15:showDataLabelsRange val="1"/>
                <c15:showLeaderLines val="1"/>
                <c15:leaderLines>
                  <c:spPr>
                    <a:ln w="9525" cap="flat" cmpd="sng" algn="ctr">
                      <a:solidFill>
                        <a:schemeClr val="tx1">
                          <a:lumMod val="35000"/>
                          <a:lumOff val="65000"/>
                        </a:schemeClr>
                      </a:solidFill>
                      <a:round/>
                    </a:ln>
                    <a:effectLst/>
                  </c:spPr>
                </c15:leaderLines>
              </c:ext>
            </c:extLst>
          </c:dLbls>
          <c:trendline>
            <c:spPr>
              <a:ln w="19050" cap="rnd">
                <a:solidFill>
                  <a:schemeClr val="accent1"/>
                </a:solidFill>
                <a:prstDash val="sysDot"/>
              </a:ln>
              <a:effectLst/>
            </c:spPr>
            <c:trendlineType val="linear"/>
            <c:intercept val="0"/>
            <c:dispRSqr val="0"/>
            <c:dispEq val="0"/>
          </c:trendline>
          <c:xVal>
            <c:numRef>
              <c:f>Sheet1!$D$2:$D$68</c:f>
              <c:numCache>
                <c:formatCode>General</c:formatCode>
                <c:ptCount val="67"/>
                <c:pt idx="0">
                  <c:v>178</c:v>
                </c:pt>
                <c:pt idx="1">
                  <c:v>192</c:v>
                </c:pt>
                <c:pt idx="2">
                  <c:v>199</c:v>
                </c:pt>
                <c:pt idx="3">
                  <c:v>134</c:v>
                </c:pt>
                <c:pt idx="4">
                  <c:v>222</c:v>
                </c:pt>
                <c:pt idx="5">
                  <c:v>137</c:v>
                </c:pt>
                <c:pt idx="6">
                  <c:v>128</c:v>
                </c:pt>
                <c:pt idx="7">
                  <c:v>240</c:v>
                </c:pt>
                <c:pt idx="8">
                  <c:v>231</c:v>
                </c:pt>
                <c:pt idx="9">
                  <c:v>246</c:v>
                </c:pt>
                <c:pt idx="10">
                  <c:v>170</c:v>
                </c:pt>
                <c:pt idx="11">
                  <c:v>172</c:v>
                </c:pt>
                <c:pt idx="12">
                  <c:v>140</c:v>
                </c:pt>
                <c:pt idx="13">
                  <c:v>39</c:v>
                </c:pt>
                <c:pt idx="14">
                  <c:v>47</c:v>
                </c:pt>
                <c:pt idx="15">
                  <c:v>8</c:v>
                </c:pt>
                <c:pt idx="16">
                  <c:v>29</c:v>
                </c:pt>
                <c:pt idx="17">
                  <c:v>9</c:v>
                </c:pt>
                <c:pt idx="18">
                  <c:v>3</c:v>
                </c:pt>
                <c:pt idx="19">
                  <c:v>3</c:v>
                </c:pt>
                <c:pt idx="20">
                  <c:v>31</c:v>
                </c:pt>
                <c:pt idx="21">
                  <c:v>131</c:v>
                </c:pt>
                <c:pt idx="22">
                  <c:v>216</c:v>
                </c:pt>
                <c:pt idx="23">
                  <c:v>61</c:v>
                </c:pt>
                <c:pt idx="24">
                  <c:v>174</c:v>
                </c:pt>
                <c:pt idx="25">
                  <c:v>12</c:v>
                </c:pt>
                <c:pt idx="26">
                  <c:v>38</c:v>
                </c:pt>
                <c:pt idx="27">
                  <c:v>38</c:v>
                </c:pt>
                <c:pt idx="28">
                  <c:v>99</c:v>
                </c:pt>
                <c:pt idx="29">
                  <c:v>18</c:v>
                </c:pt>
                <c:pt idx="30">
                  <c:v>20</c:v>
                </c:pt>
                <c:pt idx="31">
                  <c:v>72</c:v>
                </c:pt>
                <c:pt idx="32">
                  <c:v>134</c:v>
                </c:pt>
                <c:pt idx="33">
                  <c:v>40</c:v>
                </c:pt>
                <c:pt idx="34">
                  <c:v>68</c:v>
                </c:pt>
                <c:pt idx="35">
                  <c:v>41</c:v>
                </c:pt>
                <c:pt idx="36">
                  <c:v>19</c:v>
                </c:pt>
                <c:pt idx="37">
                  <c:v>37</c:v>
                </c:pt>
                <c:pt idx="38">
                  <c:v>31</c:v>
                </c:pt>
                <c:pt idx="39">
                  <c:v>6</c:v>
                </c:pt>
                <c:pt idx="40">
                  <c:v>19</c:v>
                </c:pt>
                <c:pt idx="41">
                  <c:v>97</c:v>
                </c:pt>
                <c:pt idx="42">
                  <c:v>38</c:v>
                </c:pt>
                <c:pt idx="43">
                  <c:v>34</c:v>
                </c:pt>
                <c:pt idx="44">
                  <c:v>9</c:v>
                </c:pt>
                <c:pt idx="45">
                  <c:v>4</c:v>
                </c:pt>
                <c:pt idx="46">
                  <c:v>3</c:v>
                </c:pt>
                <c:pt idx="47">
                  <c:v>38</c:v>
                </c:pt>
                <c:pt idx="48">
                  <c:v>43</c:v>
                </c:pt>
                <c:pt idx="49">
                  <c:v>70</c:v>
                </c:pt>
                <c:pt idx="50">
                  <c:v>75</c:v>
                </c:pt>
                <c:pt idx="51">
                  <c:v>47</c:v>
                </c:pt>
                <c:pt idx="52">
                  <c:v>63</c:v>
                </c:pt>
                <c:pt idx="53">
                  <c:v>81</c:v>
                </c:pt>
                <c:pt idx="54">
                  <c:v>42</c:v>
                </c:pt>
                <c:pt idx="55">
                  <c:v>40</c:v>
                </c:pt>
                <c:pt idx="56">
                  <c:v>31</c:v>
                </c:pt>
                <c:pt idx="57">
                  <c:v>30</c:v>
                </c:pt>
                <c:pt idx="58">
                  <c:v>75</c:v>
                </c:pt>
                <c:pt idx="59">
                  <c:v>49</c:v>
                </c:pt>
                <c:pt idx="60">
                  <c:v>36</c:v>
                </c:pt>
                <c:pt idx="61">
                  <c:v>29</c:v>
                </c:pt>
                <c:pt idx="62">
                  <c:v>35</c:v>
                </c:pt>
                <c:pt idx="63">
                  <c:v>18</c:v>
                </c:pt>
                <c:pt idx="64">
                  <c:v>1</c:v>
                </c:pt>
                <c:pt idx="65">
                  <c:v>4</c:v>
                </c:pt>
                <c:pt idx="66">
                  <c:v>46</c:v>
                </c:pt>
              </c:numCache>
            </c:numRef>
          </c:xVal>
          <c:yVal>
            <c:numRef>
              <c:f>Sheet1!$E$2:$E$68</c:f>
              <c:numCache>
                <c:formatCode>General</c:formatCode>
                <c:ptCount val="67"/>
                <c:pt idx="0">
                  <c:v>135</c:v>
                </c:pt>
                <c:pt idx="1">
                  <c:v>166</c:v>
                </c:pt>
                <c:pt idx="2">
                  <c:v>155</c:v>
                </c:pt>
                <c:pt idx="3">
                  <c:v>99</c:v>
                </c:pt>
                <c:pt idx="4">
                  <c:v>228</c:v>
                </c:pt>
                <c:pt idx="5">
                  <c:v>121</c:v>
                </c:pt>
                <c:pt idx="6">
                  <c:v>105</c:v>
                </c:pt>
                <c:pt idx="7">
                  <c:v>182</c:v>
                </c:pt>
                <c:pt idx="8">
                  <c:v>180</c:v>
                </c:pt>
                <c:pt idx="9">
                  <c:v>175</c:v>
                </c:pt>
                <c:pt idx="10">
                  <c:v>135</c:v>
                </c:pt>
                <c:pt idx="11">
                  <c:v>140</c:v>
                </c:pt>
                <c:pt idx="12">
                  <c:v>94</c:v>
                </c:pt>
                <c:pt idx="13">
                  <c:v>33</c:v>
                </c:pt>
                <c:pt idx="14">
                  <c:v>41</c:v>
                </c:pt>
                <c:pt idx="15">
                  <c:v>9</c:v>
                </c:pt>
                <c:pt idx="16">
                  <c:v>28</c:v>
                </c:pt>
                <c:pt idx="17">
                  <c:v>8</c:v>
                </c:pt>
                <c:pt idx="18">
                  <c:v>3</c:v>
                </c:pt>
                <c:pt idx="19">
                  <c:v>3</c:v>
                </c:pt>
                <c:pt idx="20">
                  <c:v>33</c:v>
                </c:pt>
                <c:pt idx="21">
                  <c:v>109</c:v>
                </c:pt>
                <c:pt idx="22">
                  <c:v>176</c:v>
                </c:pt>
                <c:pt idx="23">
                  <c:v>46</c:v>
                </c:pt>
                <c:pt idx="24">
                  <c:v>146</c:v>
                </c:pt>
                <c:pt idx="25">
                  <c:v>9</c:v>
                </c:pt>
                <c:pt idx="26">
                  <c:v>16</c:v>
                </c:pt>
                <c:pt idx="27">
                  <c:v>27</c:v>
                </c:pt>
                <c:pt idx="28">
                  <c:v>61</c:v>
                </c:pt>
                <c:pt idx="29">
                  <c:v>15</c:v>
                </c:pt>
                <c:pt idx="30">
                  <c:v>6</c:v>
                </c:pt>
                <c:pt idx="31">
                  <c:v>47</c:v>
                </c:pt>
                <c:pt idx="32">
                  <c:v>89</c:v>
                </c:pt>
                <c:pt idx="33">
                  <c:v>28</c:v>
                </c:pt>
                <c:pt idx="34">
                  <c:v>60</c:v>
                </c:pt>
                <c:pt idx="35">
                  <c:v>31</c:v>
                </c:pt>
                <c:pt idx="36">
                  <c:v>16</c:v>
                </c:pt>
                <c:pt idx="37">
                  <c:v>21</c:v>
                </c:pt>
                <c:pt idx="38">
                  <c:v>24</c:v>
                </c:pt>
                <c:pt idx="39">
                  <c:v>4</c:v>
                </c:pt>
                <c:pt idx="40">
                  <c:v>14</c:v>
                </c:pt>
                <c:pt idx="41">
                  <c:v>79</c:v>
                </c:pt>
                <c:pt idx="42">
                  <c:v>31</c:v>
                </c:pt>
                <c:pt idx="43">
                  <c:v>24</c:v>
                </c:pt>
                <c:pt idx="44">
                  <c:v>3</c:v>
                </c:pt>
                <c:pt idx="45">
                  <c:v>3</c:v>
                </c:pt>
                <c:pt idx="46">
                  <c:v>0</c:v>
                </c:pt>
                <c:pt idx="47">
                  <c:v>23</c:v>
                </c:pt>
                <c:pt idx="48">
                  <c:v>34</c:v>
                </c:pt>
                <c:pt idx="49">
                  <c:v>55</c:v>
                </c:pt>
                <c:pt idx="50">
                  <c:v>48</c:v>
                </c:pt>
                <c:pt idx="51">
                  <c:v>30</c:v>
                </c:pt>
                <c:pt idx="52">
                  <c:v>37</c:v>
                </c:pt>
                <c:pt idx="53">
                  <c:v>65</c:v>
                </c:pt>
                <c:pt idx="54">
                  <c:v>28</c:v>
                </c:pt>
                <c:pt idx="55">
                  <c:v>22</c:v>
                </c:pt>
                <c:pt idx="56">
                  <c:v>20</c:v>
                </c:pt>
                <c:pt idx="57">
                  <c:v>12</c:v>
                </c:pt>
                <c:pt idx="58">
                  <c:v>54</c:v>
                </c:pt>
                <c:pt idx="59">
                  <c:v>28</c:v>
                </c:pt>
                <c:pt idx="60">
                  <c:v>22</c:v>
                </c:pt>
                <c:pt idx="61">
                  <c:v>16</c:v>
                </c:pt>
                <c:pt idx="62">
                  <c:v>28</c:v>
                </c:pt>
                <c:pt idx="63">
                  <c:v>11</c:v>
                </c:pt>
                <c:pt idx="64">
                  <c:v>0</c:v>
                </c:pt>
                <c:pt idx="65">
                  <c:v>3</c:v>
                </c:pt>
                <c:pt idx="66">
                  <c:v>29</c:v>
                </c:pt>
              </c:numCache>
            </c:numRef>
          </c:yVal>
          <c:smooth val="0"/>
          <c:extLst>
            <c:ext xmlns:c15="http://schemas.microsoft.com/office/drawing/2012/chart" uri="{02D57815-91ED-43cb-92C2-25804820EDAC}">
              <c15:datalabelsRange>
                <c15:f>Sheet1!$B$2:$B$68</c15:f>
                <c15:dlblRangeCache>
                  <c:ptCount val="67"/>
                  <c:pt idx="0">
                    <c:v>I_1</c:v>
                  </c:pt>
                  <c:pt idx="1">
                    <c:v>I_2</c:v>
                  </c:pt>
                  <c:pt idx="2">
                    <c:v>I_3</c:v>
                  </c:pt>
                  <c:pt idx="3">
                    <c:v>I_4</c:v>
                  </c:pt>
                  <c:pt idx="4">
                    <c:v>I_5</c:v>
                  </c:pt>
                  <c:pt idx="5">
                    <c:v>I_6</c:v>
                  </c:pt>
                  <c:pt idx="6">
                    <c:v>I_7</c:v>
                  </c:pt>
                  <c:pt idx="7">
                    <c:v>I_8</c:v>
                  </c:pt>
                  <c:pt idx="8">
                    <c:v>I_9</c:v>
                  </c:pt>
                  <c:pt idx="9">
                    <c:v>I_10</c:v>
                  </c:pt>
                  <c:pt idx="10">
                    <c:v>I_11</c:v>
                  </c:pt>
                  <c:pt idx="11">
                    <c:v>I_12</c:v>
                  </c:pt>
                  <c:pt idx="12">
                    <c:v>I_13</c:v>
                  </c:pt>
                  <c:pt idx="13">
                    <c:v>I_14</c:v>
                  </c:pt>
                  <c:pt idx="14">
                    <c:v>I_15</c:v>
                  </c:pt>
                  <c:pt idx="15">
                    <c:v>I_16</c:v>
                  </c:pt>
                  <c:pt idx="16">
                    <c:v>I_17</c:v>
                  </c:pt>
                  <c:pt idx="17">
                    <c:v>I_18</c:v>
                  </c:pt>
                  <c:pt idx="18">
                    <c:v>I_19</c:v>
                  </c:pt>
                  <c:pt idx="19">
                    <c:v>I_20</c:v>
                  </c:pt>
                  <c:pt idx="20">
                    <c:v>II_1</c:v>
                  </c:pt>
                  <c:pt idx="21">
                    <c:v>II_2</c:v>
                  </c:pt>
                  <c:pt idx="22">
                    <c:v>II_3</c:v>
                  </c:pt>
                  <c:pt idx="23">
                    <c:v>II_4</c:v>
                  </c:pt>
                  <c:pt idx="24">
                    <c:v>II_5</c:v>
                  </c:pt>
                  <c:pt idx="25">
                    <c:v>II_6</c:v>
                  </c:pt>
                  <c:pt idx="26">
                    <c:v>II_7</c:v>
                  </c:pt>
                  <c:pt idx="27">
                    <c:v>II_8</c:v>
                  </c:pt>
                  <c:pt idx="28">
                    <c:v>II_9</c:v>
                  </c:pt>
                  <c:pt idx="29">
                    <c:v>II_10</c:v>
                  </c:pt>
                  <c:pt idx="30">
                    <c:v>II_11</c:v>
                  </c:pt>
                  <c:pt idx="31">
                    <c:v>II_12</c:v>
                  </c:pt>
                  <c:pt idx="32">
                    <c:v>II_13</c:v>
                  </c:pt>
                  <c:pt idx="33">
                    <c:v>II_14</c:v>
                  </c:pt>
                  <c:pt idx="34">
                    <c:v>II_15</c:v>
                  </c:pt>
                  <c:pt idx="35">
                    <c:v>II_16</c:v>
                  </c:pt>
                  <c:pt idx="36">
                    <c:v>II_17</c:v>
                  </c:pt>
                  <c:pt idx="37">
                    <c:v>II_18</c:v>
                  </c:pt>
                  <c:pt idx="38">
                    <c:v>II_19</c:v>
                  </c:pt>
                  <c:pt idx="39">
                    <c:v>II_20</c:v>
                  </c:pt>
                  <c:pt idx="40">
                    <c:v>II_21</c:v>
                  </c:pt>
                  <c:pt idx="41">
                    <c:v>II_22</c:v>
                  </c:pt>
                  <c:pt idx="42">
                    <c:v>II_23</c:v>
                  </c:pt>
                  <c:pt idx="43">
                    <c:v>II_24</c:v>
                  </c:pt>
                  <c:pt idx="44">
                    <c:v>II_25</c:v>
                  </c:pt>
                  <c:pt idx="45">
                    <c:v>II_26</c:v>
                  </c:pt>
                  <c:pt idx="46">
                    <c:v>II_27</c:v>
                  </c:pt>
                  <c:pt idx="47">
                    <c:v>III_1</c:v>
                  </c:pt>
                  <c:pt idx="48">
                    <c:v>III_2</c:v>
                  </c:pt>
                  <c:pt idx="49">
                    <c:v>III_3</c:v>
                  </c:pt>
                  <c:pt idx="50">
                    <c:v>III_4</c:v>
                  </c:pt>
                  <c:pt idx="51">
                    <c:v>III_5</c:v>
                  </c:pt>
                  <c:pt idx="52">
                    <c:v>III_6</c:v>
                  </c:pt>
                  <c:pt idx="53">
                    <c:v>III_7</c:v>
                  </c:pt>
                  <c:pt idx="54">
                    <c:v>III_8</c:v>
                  </c:pt>
                  <c:pt idx="55">
                    <c:v>III_9</c:v>
                  </c:pt>
                  <c:pt idx="56">
                    <c:v>III_10</c:v>
                  </c:pt>
                  <c:pt idx="57">
                    <c:v>III_11</c:v>
                  </c:pt>
                  <c:pt idx="58">
                    <c:v>III_12</c:v>
                  </c:pt>
                  <c:pt idx="59">
                    <c:v>III_13</c:v>
                  </c:pt>
                  <c:pt idx="60">
                    <c:v>III_14</c:v>
                  </c:pt>
                  <c:pt idx="61">
                    <c:v>III_15</c:v>
                  </c:pt>
                  <c:pt idx="62">
                    <c:v>III_16</c:v>
                  </c:pt>
                  <c:pt idx="63">
                    <c:v>III_17</c:v>
                  </c:pt>
                  <c:pt idx="64">
                    <c:v>III_18</c:v>
                  </c:pt>
                  <c:pt idx="65">
                    <c:v>III_19</c:v>
                  </c:pt>
                  <c:pt idx="66">
                    <c:v>III_20</c:v>
                  </c:pt>
                </c15:dlblRangeCache>
              </c15:datalabelsRange>
            </c:ext>
            <c:ext xmlns:c16="http://schemas.microsoft.com/office/drawing/2014/chart" uri="{C3380CC4-5D6E-409C-BE32-E72D297353CC}">
              <c16:uniqueId val="{00000044-2AF6-46D4-83D1-F56EC818061D}"/>
            </c:ext>
          </c:extLst>
        </c:ser>
        <c:dLbls>
          <c:showLegendKey val="0"/>
          <c:showVal val="0"/>
          <c:showCatName val="0"/>
          <c:showSerName val="0"/>
          <c:showPercent val="0"/>
          <c:showBubbleSize val="0"/>
        </c:dLbls>
        <c:axId val="842489695"/>
        <c:axId val="840514687"/>
      </c:scatterChart>
      <c:valAx>
        <c:axId val="842489695"/>
        <c:scaling>
          <c:orientation val="minMax"/>
          <c:max val="250"/>
        </c:scaling>
        <c:delete val="0"/>
        <c:axPos val="b"/>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fr-FR"/>
                  <a:t>Nombre de références dans "Web of Science" (WoS)</a:t>
                </a:r>
              </a:p>
            </c:rich>
          </c:tx>
          <c:layout>
            <c:manualLayout>
              <c:xMode val="edge"/>
              <c:yMode val="edge"/>
              <c:x val="0.20997645270606996"/>
              <c:y val="0.91613261387285716"/>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fr-FR"/>
          </a:p>
        </c:txPr>
        <c:crossAx val="840514687"/>
        <c:crosses val="autoZero"/>
        <c:crossBetween val="midCat"/>
      </c:valAx>
      <c:valAx>
        <c:axId val="840514687"/>
        <c:scaling>
          <c:orientation val="minMax"/>
        </c:scaling>
        <c:delete val="0"/>
        <c:axPos val="l"/>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fr-FR"/>
                  <a:t>Nombre de références dans HAL</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fr-FR"/>
          </a:p>
        </c:txPr>
        <c:crossAx val="842489695"/>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Times New Roman" panose="02020603050405020304" pitchFamily="18" charset="0"/>
          <a:cs typeface="Times New Roman" panose="02020603050405020304" pitchFamily="18" charset="0"/>
        </a:defRPr>
      </a:pPr>
      <a:endParaRPr lang="fr-FR"/>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Feuil2!$B$1</c:f>
              <c:strCache>
                <c:ptCount val="1"/>
                <c:pt idx="0">
                  <c:v>groupe 1</c:v>
                </c:pt>
              </c:strCache>
            </c:strRef>
          </c:tx>
          <c:spPr>
            <a:solidFill>
              <a:srgbClr val="0070C0"/>
            </a:solidFill>
            <a:ln>
              <a:noFill/>
            </a:ln>
            <a:effectLst/>
          </c:spPr>
          <c:invertIfNegative val="0"/>
          <c:cat>
            <c:strRef>
              <c:f>Feuil2!$A$2:$A$6</c:f>
              <c:strCache>
                <c:ptCount val="5"/>
                <c:pt idx="0">
                  <c:v>Université de La Réunion</c:v>
                </c:pt>
                <c:pt idx="1">
                  <c:v>Université de Guyane</c:v>
                </c:pt>
                <c:pt idx="2">
                  <c:v>Université de la Nouvelle-Calédonie</c:v>
                </c:pt>
                <c:pt idx="3">
                  <c:v>Université des Antilles et de la Guyane</c:v>
                </c:pt>
                <c:pt idx="4">
                  <c:v>Université de la Polynésie Française</c:v>
                </c:pt>
              </c:strCache>
            </c:strRef>
          </c:cat>
          <c:val>
            <c:numRef>
              <c:f>Feuil2!$B$2:$B$6</c:f>
              <c:numCache>
                <c:formatCode>General</c:formatCode>
                <c:ptCount val="5"/>
                <c:pt idx="0">
                  <c:v>19</c:v>
                </c:pt>
                <c:pt idx="1">
                  <c:v>12</c:v>
                </c:pt>
                <c:pt idx="2">
                  <c:v>1</c:v>
                </c:pt>
                <c:pt idx="3">
                  <c:v>3</c:v>
                </c:pt>
                <c:pt idx="4">
                  <c:v>1</c:v>
                </c:pt>
              </c:numCache>
            </c:numRef>
          </c:val>
          <c:extLst>
            <c:ext xmlns:c16="http://schemas.microsoft.com/office/drawing/2014/chart" uri="{C3380CC4-5D6E-409C-BE32-E72D297353CC}">
              <c16:uniqueId val="{00000000-2E7E-453B-B26C-E8380AB58B61}"/>
            </c:ext>
          </c:extLst>
        </c:ser>
        <c:ser>
          <c:idx val="1"/>
          <c:order val="1"/>
          <c:tx>
            <c:strRef>
              <c:f>Feuil2!$C$1</c:f>
              <c:strCache>
                <c:ptCount val="1"/>
                <c:pt idx="0">
                  <c:v>groupe 2</c:v>
                </c:pt>
              </c:strCache>
            </c:strRef>
          </c:tx>
          <c:spPr>
            <a:solidFill>
              <a:srgbClr val="00B050"/>
            </a:solidFill>
            <a:ln>
              <a:noFill/>
            </a:ln>
            <a:effectLst/>
          </c:spPr>
          <c:invertIfNegative val="0"/>
          <c:cat>
            <c:strRef>
              <c:f>Feuil2!$A$2:$A$6</c:f>
              <c:strCache>
                <c:ptCount val="5"/>
                <c:pt idx="0">
                  <c:v>Université de La Réunion</c:v>
                </c:pt>
                <c:pt idx="1">
                  <c:v>Université de Guyane</c:v>
                </c:pt>
                <c:pt idx="2">
                  <c:v>Université de la Nouvelle-Calédonie</c:v>
                </c:pt>
                <c:pt idx="3">
                  <c:v>Université des Antilles et de la Guyane</c:v>
                </c:pt>
                <c:pt idx="4">
                  <c:v>Université de la Polynésie Française</c:v>
                </c:pt>
              </c:strCache>
            </c:strRef>
          </c:cat>
          <c:val>
            <c:numRef>
              <c:f>Feuil2!$C$2:$C$6</c:f>
              <c:numCache>
                <c:formatCode>General</c:formatCode>
                <c:ptCount val="5"/>
                <c:pt idx="0">
                  <c:v>27</c:v>
                </c:pt>
                <c:pt idx="1">
                  <c:v>17</c:v>
                </c:pt>
                <c:pt idx="2">
                  <c:v>17</c:v>
                </c:pt>
                <c:pt idx="3">
                  <c:v>14</c:v>
                </c:pt>
                <c:pt idx="4">
                  <c:v>13</c:v>
                </c:pt>
              </c:numCache>
            </c:numRef>
          </c:val>
          <c:extLst>
            <c:ext xmlns:c16="http://schemas.microsoft.com/office/drawing/2014/chart" uri="{C3380CC4-5D6E-409C-BE32-E72D297353CC}">
              <c16:uniqueId val="{00000001-2E7E-453B-B26C-E8380AB58B61}"/>
            </c:ext>
          </c:extLst>
        </c:ser>
        <c:ser>
          <c:idx val="2"/>
          <c:order val="2"/>
          <c:tx>
            <c:strRef>
              <c:f>Feuil2!$D$1</c:f>
              <c:strCache>
                <c:ptCount val="1"/>
                <c:pt idx="0">
                  <c:v>groupe 3</c:v>
                </c:pt>
              </c:strCache>
            </c:strRef>
          </c:tx>
          <c:spPr>
            <a:solidFill>
              <a:srgbClr val="FFFF00"/>
            </a:solidFill>
            <a:ln>
              <a:noFill/>
            </a:ln>
            <a:effectLst/>
          </c:spPr>
          <c:invertIfNegative val="0"/>
          <c:cat>
            <c:strRef>
              <c:f>Feuil2!$A$2:$A$6</c:f>
              <c:strCache>
                <c:ptCount val="5"/>
                <c:pt idx="0">
                  <c:v>Université de La Réunion</c:v>
                </c:pt>
                <c:pt idx="1">
                  <c:v>Université de Guyane</c:v>
                </c:pt>
                <c:pt idx="2">
                  <c:v>Université de la Nouvelle-Calédonie</c:v>
                </c:pt>
                <c:pt idx="3">
                  <c:v>Université des Antilles et de la Guyane</c:v>
                </c:pt>
                <c:pt idx="4">
                  <c:v>Université de la Polynésie Française</c:v>
                </c:pt>
              </c:strCache>
            </c:strRef>
          </c:cat>
          <c:val>
            <c:numRef>
              <c:f>Feuil2!$D$2:$D$6</c:f>
              <c:numCache>
                <c:formatCode>General</c:formatCode>
                <c:ptCount val="5"/>
                <c:pt idx="0">
                  <c:v>4</c:v>
                </c:pt>
                <c:pt idx="1">
                  <c:v>2</c:v>
                </c:pt>
                <c:pt idx="2">
                  <c:v>0</c:v>
                </c:pt>
                <c:pt idx="3">
                  <c:v>0</c:v>
                </c:pt>
                <c:pt idx="4">
                  <c:v>0</c:v>
                </c:pt>
              </c:numCache>
            </c:numRef>
          </c:val>
          <c:extLst>
            <c:ext xmlns:c16="http://schemas.microsoft.com/office/drawing/2014/chart" uri="{C3380CC4-5D6E-409C-BE32-E72D297353CC}">
              <c16:uniqueId val="{00000002-2E7E-453B-B26C-E8380AB58B61}"/>
            </c:ext>
          </c:extLst>
        </c:ser>
        <c:dLbls>
          <c:showLegendKey val="0"/>
          <c:showVal val="0"/>
          <c:showCatName val="0"/>
          <c:showSerName val="0"/>
          <c:showPercent val="0"/>
          <c:showBubbleSize val="0"/>
        </c:dLbls>
        <c:gapWidth val="150"/>
        <c:overlap val="100"/>
        <c:axId val="375958320"/>
        <c:axId val="374690176"/>
      </c:barChart>
      <c:catAx>
        <c:axId val="375958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374690176"/>
        <c:crosses val="autoZero"/>
        <c:auto val="1"/>
        <c:lblAlgn val="ctr"/>
        <c:lblOffset val="100"/>
        <c:noMultiLvlLbl val="0"/>
      </c:catAx>
      <c:valAx>
        <c:axId val="3746901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375958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Data!$A$22</c:f>
              <c:strCache>
                <c:ptCount val="1"/>
                <c:pt idx="0">
                  <c:v>Planète et univers</c:v>
                </c:pt>
              </c:strCache>
            </c:strRef>
          </c:tx>
          <c:spPr>
            <a:solidFill>
              <a:srgbClr val="0070C0"/>
            </a:solidFill>
            <a:ln>
              <a:noFill/>
            </a:ln>
            <a:effectLst/>
          </c:spPr>
          <c:invertIfNegative val="0"/>
          <c:cat>
            <c:strRef>
              <c:f>Data!$B$21:$E$21</c:f>
              <c:strCache>
                <c:ptCount val="4"/>
                <c:pt idx="0">
                  <c:v>Ensemble des groupes du GIEC</c:v>
                </c:pt>
                <c:pt idx="1">
                  <c:v>Groupe 1</c:v>
                </c:pt>
                <c:pt idx="2">
                  <c:v>Groupe 2</c:v>
                </c:pt>
                <c:pt idx="3">
                  <c:v>Groupe 3</c:v>
                </c:pt>
              </c:strCache>
            </c:strRef>
          </c:cat>
          <c:val>
            <c:numRef>
              <c:f>Data!$B$22:$E$22</c:f>
              <c:numCache>
                <c:formatCode>General</c:formatCode>
                <c:ptCount val="4"/>
                <c:pt idx="0">
                  <c:v>1824</c:v>
                </c:pt>
                <c:pt idx="1">
                  <c:v>1499</c:v>
                </c:pt>
                <c:pt idx="2">
                  <c:v>425</c:v>
                </c:pt>
                <c:pt idx="3">
                  <c:v>131</c:v>
                </c:pt>
              </c:numCache>
            </c:numRef>
          </c:val>
          <c:extLst>
            <c:ext xmlns:c16="http://schemas.microsoft.com/office/drawing/2014/chart" uri="{C3380CC4-5D6E-409C-BE32-E72D297353CC}">
              <c16:uniqueId val="{00000000-539A-401D-AF92-1CA1B8570FFA}"/>
            </c:ext>
          </c:extLst>
        </c:ser>
        <c:ser>
          <c:idx val="1"/>
          <c:order val="1"/>
          <c:tx>
            <c:strRef>
              <c:f>Data!$A$23</c:f>
              <c:strCache>
                <c:ptCount val="1"/>
                <c:pt idx="0">
                  <c:v>Sciences de l’environnement</c:v>
                </c:pt>
              </c:strCache>
            </c:strRef>
          </c:tx>
          <c:spPr>
            <a:solidFill>
              <a:srgbClr val="00B050"/>
            </a:solidFill>
            <a:ln>
              <a:noFill/>
            </a:ln>
            <a:effectLst/>
          </c:spPr>
          <c:invertIfNegative val="0"/>
          <c:cat>
            <c:strRef>
              <c:f>Data!$B$21:$E$21</c:f>
              <c:strCache>
                <c:ptCount val="4"/>
                <c:pt idx="0">
                  <c:v>Ensemble des groupes du GIEC</c:v>
                </c:pt>
                <c:pt idx="1">
                  <c:v>Groupe 1</c:v>
                </c:pt>
                <c:pt idx="2">
                  <c:v>Groupe 2</c:v>
                </c:pt>
                <c:pt idx="3">
                  <c:v>Groupe 3</c:v>
                </c:pt>
              </c:strCache>
            </c:strRef>
          </c:cat>
          <c:val>
            <c:numRef>
              <c:f>Data!$B$23:$E$23</c:f>
              <c:numCache>
                <c:formatCode>General</c:formatCode>
                <c:ptCount val="4"/>
                <c:pt idx="0">
                  <c:v>1074</c:v>
                </c:pt>
                <c:pt idx="1">
                  <c:v>426</c:v>
                </c:pt>
                <c:pt idx="2">
                  <c:v>602</c:v>
                </c:pt>
                <c:pt idx="3">
                  <c:v>164</c:v>
                </c:pt>
              </c:numCache>
            </c:numRef>
          </c:val>
          <c:extLst>
            <c:ext xmlns:c16="http://schemas.microsoft.com/office/drawing/2014/chart" uri="{C3380CC4-5D6E-409C-BE32-E72D297353CC}">
              <c16:uniqueId val="{00000001-539A-401D-AF92-1CA1B8570FFA}"/>
            </c:ext>
          </c:extLst>
        </c:ser>
        <c:ser>
          <c:idx val="2"/>
          <c:order val="2"/>
          <c:tx>
            <c:strRef>
              <c:f>Data!$A$24</c:f>
              <c:strCache>
                <c:ptCount val="1"/>
                <c:pt idx="0">
                  <c:v>Sciences du vivant</c:v>
                </c:pt>
              </c:strCache>
            </c:strRef>
          </c:tx>
          <c:spPr>
            <a:solidFill>
              <a:srgbClr val="FF0000"/>
            </a:solidFill>
            <a:ln>
              <a:noFill/>
            </a:ln>
            <a:effectLst/>
          </c:spPr>
          <c:invertIfNegative val="0"/>
          <c:cat>
            <c:strRef>
              <c:f>Data!$B$21:$E$21</c:f>
              <c:strCache>
                <c:ptCount val="4"/>
                <c:pt idx="0">
                  <c:v>Ensemble des groupes du GIEC</c:v>
                </c:pt>
                <c:pt idx="1">
                  <c:v>Groupe 1</c:v>
                </c:pt>
                <c:pt idx="2">
                  <c:v>Groupe 2</c:v>
                </c:pt>
                <c:pt idx="3">
                  <c:v>Groupe 3</c:v>
                </c:pt>
              </c:strCache>
            </c:strRef>
          </c:cat>
          <c:val>
            <c:numRef>
              <c:f>Data!$B$24:$E$24</c:f>
              <c:numCache>
                <c:formatCode>General</c:formatCode>
                <c:ptCount val="4"/>
                <c:pt idx="0">
                  <c:v>489</c:v>
                </c:pt>
                <c:pt idx="1">
                  <c:v>98</c:v>
                </c:pt>
                <c:pt idx="2">
                  <c:v>355</c:v>
                </c:pt>
                <c:pt idx="3">
                  <c:v>72</c:v>
                </c:pt>
              </c:numCache>
            </c:numRef>
          </c:val>
          <c:extLst>
            <c:ext xmlns:c16="http://schemas.microsoft.com/office/drawing/2014/chart" uri="{C3380CC4-5D6E-409C-BE32-E72D297353CC}">
              <c16:uniqueId val="{00000002-539A-401D-AF92-1CA1B8570FFA}"/>
            </c:ext>
          </c:extLst>
        </c:ser>
        <c:ser>
          <c:idx val="3"/>
          <c:order val="3"/>
          <c:tx>
            <c:strRef>
              <c:f>Data!$A$25</c:f>
              <c:strCache>
                <c:ptCount val="1"/>
                <c:pt idx="0">
                  <c:v>Sciences de l’homme et de la société</c:v>
                </c:pt>
              </c:strCache>
            </c:strRef>
          </c:tx>
          <c:spPr>
            <a:solidFill>
              <a:srgbClr val="FFC000"/>
            </a:solidFill>
            <a:ln>
              <a:noFill/>
            </a:ln>
            <a:effectLst/>
          </c:spPr>
          <c:invertIfNegative val="0"/>
          <c:cat>
            <c:strRef>
              <c:f>Data!$B$21:$E$21</c:f>
              <c:strCache>
                <c:ptCount val="4"/>
                <c:pt idx="0">
                  <c:v>Ensemble des groupes du GIEC</c:v>
                </c:pt>
                <c:pt idx="1">
                  <c:v>Groupe 1</c:v>
                </c:pt>
                <c:pt idx="2">
                  <c:v>Groupe 2</c:v>
                </c:pt>
                <c:pt idx="3">
                  <c:v>Groupe 3</c:v>
                </c:pt>
              </c:strCache>
            </c:strRef>
          </c:cat>
          <c:val>
            <c:numRef>
              <c:f>Data!$B$25:$E$25</c:f>
              <c:numCache>
                <c:formatCode>General</c:formatCode>
                <c:ptCount val="4"/>
                <c:pt idx="0">
                  <c:v>376</c:v>
                </c:pt>
                <c:pt idx="1">
                  <c:v>49</c:v>
                </c:pt>
                <c:pt idx="2">
                  <c:v>164</c:v>
                </c:pt>
                <c:pt idx="3">
                  <c:v>192</c:v>
                </c:pt>
              </c:numCache>
            </c:numRef>
          </c:val>
          <c:extLst>
            <c:ext xmlns:c16="http://schemas.microsoft.com/office/drawing/2014/chart" uri="{C3380CC4-5D6E-409C-BE32-E72D297353CC}">
              <c16:uniqueId val="{00000003-539A-401D-AF92-1CA1B8570FFA}"/>
            </c:ext>
          </c:extLst>
        </c:ser>
        <c:ser>
          <c:idx val="4"/>
          <c:order val="4"/>
          <c:tx>
            <c:strRef>
              <c:f>Data!$A$26</c:f>
              <c:strCache>
                <c:ptCount val="1"/>
                <c:pt idx="0">
                  <c:v>Autres disciplines</c:v>
                </c:pt>
              </c:strCache>
            </c:strRef>
          </c:tx>
          <c:spPr>
            <a:solidFill>
              <a:schemeClr val="bg1">
                <a:lumMod val="85000"/>
              </a:schemeClr>
            </a:solidFill>
            <a:ln>
              <a:noFill/>
            </a:ln>
            <a:effectLst/>
          </c:spPr>
          <c:invertIfNegative val="0"/>
          <c:cat>
            <c:strRef>
              <c:f>Data!$B$21:$E$21</c:f>
              <c:strCache>
                <c:ptCount val="4"/>
                <c:pt idx="0">
                  <c:v>Ensemble des groupes du GIEC</c:v>
                </c:pt>
                <c:pt idx="1">
                  <c:v>Groupe 1</c:v>
                </c:pt>
                <c:pt idx="2">
                  <c:v>Groupe 2</c:v>
                </c:pt>
                <c:pt idx="3">
                  <c:v>Groupe 3</c:v>
                </c:pt>
              </c:strCache>
            </c:strRef>
          </c:cat>
          <c:val>
            <c:numRef>
              <c:f>Data!$B$26:$E$26</c:f>
              <c:numCache>
                <c:formatCode>General</c:formatCode>
                <c:ptCount val="4"/>
                <c:pt idx="0">
                  <c:v>394</c:v>
                </c:pt>
                <c:pt idx="1">
                  <c:v>286</c:v>
                </c:pt>
                <c:pt idx="2">
                  <c:v>87</c:v>
                </c:pt>
                <c:pt idx="3">
                  <c:v>52</c:v>
                </c:pt>
              </c:numCache>
            </c:numRef>
          </c:val>
          <c:extLst>
            <c:ext xmlns:c16="http://schemas.microsoft.com/office/drawing/2014/chart" uri="{C3380CC4-5D6E-409C-BE32-E72D297353CC}">
              <c16:uniqueId val="{00000004-539A-401D-AF92-1CA1B8570FFA}"/>
            </c:ext>
          </c:extLst>
        </c:ser>
        <c:dLbls>
          <c:showLegendKey val="0"/>
          <c:showVal val="0"/>
          <c:showCatName val="0"/>
          <c:showSerName val="0"/>
          <c:showPercent val="0"/>
          <c:showBubbleSize val="0"/>
        </c:dLbls>
        <c:gapWidth val="150"/>
        <c:axId val="616734048"/>
        <c:axId val="613033408"/>
      </c:barChart>
      <c:catAx>
        <c:axId val="6167340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fr-FR"/>
          </a:p>
        </c:txPr>
        <c:crossAx val="613033408"/>
        <c:crosses val="autoZero"/>
        <c:auto val="1"/>
        <c:lblAlgn val="ctr"/>
        <c:lblOffset val="100"/>
        <c:noMultiLvlLbl val="0"/>
      </c:catAx>
      <c:valAx>
        <c:axId val="613033408"/>
        <c:scaling>
          <c:orientation val="minMax"/>
        </c:scaling>
        <c:delete val="0"/>
        <c:axPos val="l"/>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fr-FR"/>
          </a:p>
        </c:txPr>
        <c:crossAx val="61673404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50"/>
      </a:pPr>
      <a:endParaRPr lang="fr-F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AnalyseSpecialisationTop20!$F$2</c:f>
              <c:strCache>
                <c:ptCount val="1"/>
                <c:pt idx="0">
                  <c:v>nombre_publications_GT_1</c:v>
                </c:pt>
              </c:strCache>
            </c:strRef>
          </c:tx>
          <c:spPr>
            <a:solidFill>
              <a:srgbClr val="0070C0"/>
            </a:solidFill>
            <a:ln>
              <a:noFill/>
            </a:ln>
            <a:effectLst/>
          </c:spPr>
          <c:invertIfNegative val="0"/>
          <c:cat>
            <c:strRef>
              <c:f>AnalyseSpecialisationTop20!$E$3:$E$22</c:f>
              <c:strCache>
                <c:ptCount val="20"/>
                <c:pt idx="0">
                  <c:v>1_LSCE</c:v>
                </c:pt>
                <c:pt idx="1">
                  <c:v>1_LOCEAN</c:v>
                </c:pt>
                <c:pt idx="2">
                  <c:v>1_LMD</c:v>
                </c:pt>
                <c:pt idx="3">
                  <c:v>1_CNRM</c:v>
                </c:pt>
                <c:pt idx="4">
                  <c:v>1_IGE</c:v>
                </c:pt>
                <c:pt idx="5">
                  <c:v>1_LATMOS</c:v>
                </c:pt>
                <c:pt idx="6">
                  <c:v>1_LEGOS</c:v>
                </c:pt>
                <c:pt idx="7">
                  <c:v>3_CIRED</c:v>
                </c:pt>
                <c:pt idx="8">
                  <c:v>1_CEREGE</c:v>
                </c:pt>
                <c:pt idx="9">
                  <c:v>2_LOV</c:v>
                </c:pt>
                <c:pt idx="10">
                  <c:v>2_MARBEC</c:v>
                </c:pt>
                <c:pt idx="11">
                  <c:v>2_LIENSs</c:v>
                </c:pt>
                <c:pt idx="12">
                  <c:v>2_IMBE</c:v>
                </c:pt>
                <c:pt idx="13">
                  <c:v>1_HSM</c:v>
                </c:pt>
                <c:pt idx="14">
                  <c:v>1_ISEM</c:v>
                </c:pt>
                <c:pt idx="15">
                  <c:v>1_METIS</c:v>
                </c:pt>
                <c:pt idx="16">
                  <c:v>2_CEFE</c:v>
                </c:pt>
                <c:pt idx="17">
                  <c:v>1_LAERO</c:v>
                </c:pt>
                <c:pt idx="18">
                  <c:v>1_BGS</c:v>
                </c:pt>
                <c:pt idx="19">
                  <c:v>2_GET</c:v>
                </c:pt>
              </c:strCache>
            </c:strRef>
          </c:cat>
          <c:val>
            <c:numRef>
              <c:f>AnalyseSpecialisationTop20!$F$3:$F$22</c:f>
              <c:numCache>
                <c:formatCode>General</c:formatCode>
                <c:ptCount val="20"/>
                <c:pt idx="0">
                  <c:v>518</c:v>
                </c:pt>
                <c:pt idx="1">
                  <c:v>227</c:v>
                </c:pt>
                <c:pt idx="2">
                  <c:v>207</c:v>
                </c:pt>
                <c:pt idx="3">
                  <c:v>201</c:v>
                </c:pt>
                <c:pt idx="4">
                  <c:v>107</c:v>
                </c:pt>
                <c:pt idx="5">
                  <c:v>75</c:v>
                </c:pt>
                <c:pt idx="6">
                  <c:v>57</c:v>
                </c:pt>
                <c:pt idx="7">
                  <c:v>12</c:v>
                </c:pt>
                <c:pt idx="8">
                  <c:v>47</c:v>
                </c:pt>
                <c:pt idx="9">
                  <c:v>16</c:v>
                </c:pt>
                <c:pt idx="10">
                  <c:v>4</c:v>
                </c:pt>
                <c:pt idx="11">
                  <c:v>12</c:v>
                </c:pt>
                <c:pt idx="12">
                  <c:v>15</c:v>
                </c:pt>
                <c:pt idx="13">
                  <c:v>20</c:v>
                </c:pt>
                <c:pt idx="14">
                  <c:v>15</c:v>
                </c:pt>
                <c:pt idx="15">
                  <c:v>19</c:v>
                </c:pt>
                <c:pt idx="16">
                  <c:v>9</c:v>
                </c:pt>
                <c:pt idx="17">
                  <c:v>21</c:v>
                </c:pt>
                <c:pt idx="18">
                  <c:v>19</c:v>
                </c:pt>
                <c:pt idx="19">
                  <c:v>7</c:v>
                </c:pt>
              </c:numCache>
            </c:numRef>
          </c:val>
          <c:extLst>
            <c:ext xmlns:c16="http://schemas.microsoft.com/office/drawing/2014/chart" uri="{C3380CC4-5D6E-409C-BE32-E72D297353CC}">
              <c16:uniqueId val="{00000000-29D8-468B-963E-7495CF31C9E3}"/>
            </c:ext>
          </c:extLst>
        </c:ser>
        <c:ser>
          <c:idx val="1"/>
          <c:order val="1"/>
          <c:tx>
            <c:strRef>
              <c:f>AnalyseSpecialisationTop20!$G$2</c:f>
              <c:strCache>
                <c:ptCount val="1"/>
                <c:pt idx="0">
                  <c:v>nombre_publications_GT_2</c:v>
                </c:pt>
              </c:strCache>
            </c:strRef>
          </c:tx>
          <c:spPr>
            <a:solidFill>
              <a:srgbClr val="00B050"/>
            </a:solidFill>
            <a:ln>
              <a:noFill/>
            </a:ln>
            <a:effectLst/>
          </c:spPr>
          <c:invertIfNegative val="0"/>
          <c:cat>
            <c:strRef>
              <c:f>AnalyseSpecialisationTop20!$E$3:$E$22</c:f>
              <c:strCache>
                <c:ptCount val="20"/>
                <c:pt idx="0">
                  <c:v>1_LSCE</c:v>
                </c:pt>
                <c:pt idx="1">
                  <c:v>1_LOCEAN</c:v>
                </c:pt>
                <c:pt idx="2">
                  <c:v>1_LMD</c:v>
                </c:pt>
                <c:pt idx="3">
                  <c:v>1_CNRM</c:v>
                </c:pt>
                <c:pt idx="4">
                  <c:v>1_IGE</c:v>
                </c:pt>
                <c:pt idx="5">
                  <c:v>1_LATMOS</c:v>
                </c:pt>
                <c:pt idx="6">
                  <c:v>1_LEGOS</c:v>
                </c:pt>
                <c:pt idx="7">
                  <c:v>3_CIRED</c:v>
                </c:pt>
                <c:pt idx="8">
                  <c:v>1_CEREGE</c:v>
                </c:pt>
                <c:pt idx="9">
                  <c:v>2_LOV</c:v>
                </c:pt>
                <c:pt idx="10">
                  <c:v>2_MARBEC</c:v>
                </c:pt>
                <c:pt idx="11">
                  <c:v>2_LIENSs</c:v>
                </c:pt>
                <c:pt idx="12">
                  <c:v>2_IMBE</c:v>
                </c:pt>
                <c:pt idx="13">
                  <c:v>1_HSM</c:v>
                </c:pt>
                <c:pt idx="14">
                  <c:v>1_ISEM</c:v>
                </c:pt>
                <c:pt idx="15">
                  <c:v>1_METIS</c:v>
                </c:pt>
                <c:pt idx="16">
                  <c:v>2_CEFE</c:v>
                </c:pt>
                <c:pt idx="17">
                  <c:v>1_LAERO</c:v>
                </c:pt>
                <c:pt idx="18">
                  <c:v>1_BGS</c:v>
                </c:pt>
                <c:pt idx="19">
                  <c:v>2_GET</c:v>
                </c:pt>
              </c:strCache>
            </c:strRef>
          </c:cat>
          <c:val>
            <c:numRef>
              <c:f>AnalyseSpecialisationTop20!$G$3:$G$22</c:f>
              <c:numCache>
                <c:formatCode>General</c:formatCode>
                <c:ptCount val="20"/>
                <c:pt idx="0">
                  <c:v>146</c:v>
                </c:pt>
                <c:pt idx="1">
                  <c:v>66</c:v>
                </c:pt>
                <c:pt idx="2">
                  <c:v>31</c:v>
                </c:pt>
                <c:pt idx="3">
                  <c:v>43</c:v>
                </c:pt>
                <c:pt idx="4">
                  <c:v>25</c:v>
                </c:pt>
                <c:pt idx="5">
                  <c:v>3</c:v>
                </c:pt>
                <c:pt idx="6">
                  <c:v>19</c:v>
                </c:pt>
                <c:pt idx="7">
                  <c:v>11</c:v>
                </c:pt>
                <c:pt idx="8">
                  <c:v>15</c:v>
                </c:pt>
                <c:pt idx="9">
                  <c:v>35</c:v>
                </c:pt>
                <c:pt idx="10">
                  <c:v>43</c:v>
                </c:pt>
                <c:pt idx="11">
                  <c:v>34</c:v>
                </c:pt>
                <c:pt idx="12">
                  <c:v>30</c:v>
                </c:pt>
                <c:pt idx="13">
                  <c:v>16</c:v>
                </c:pt>
                <c:pt idx="14">
                  <c:v>14</c:v>
                </c:pt>
                <c:pt idx="15">
                  <c:v>11</c:v>
                </c:pt>
                <c:pt idx="16">
                  <c:v>19</c:v>
                </c:pt>
                <c:pt idx="17">
                  <c:v>4</c:v>
                </c:pt>
                <c:pt idx="18">
                  <c:v>7</c:v>
                </c:pt>
                <c:pt idx="19">
                  <c:v>15</c:v>
                </c:pt>
              </c:numCache>
            </c:numRef>
          </c:val>
          <c:extLst>
            <c:ext xmlns:c16="http://schemas.microsoft.com/office/drawing/2014/chart" uri="{C3380CC4-5D6E-409C-BE32-E72D297353CC}">
              <c16:uniqueId val="{00000001-29D8-468B-963E-7495CF31C9E3}"/>
            </c:ext>
          </c:extLst>
        </c:ser>
        <c:ser>
          <c:idx val="2"/>
          <c:order val="2"/>
          <c:tx>
            <c:strRef>
              <c:f>AnalyseSpecialisationTop20!$H$2</c:f>
              <c:strCache>
                <c:ptCount val="1"/>
                <c:pt idx="0">
                  <c:v>nombre_publications_GT_3</c:v>
                </c:pt>
              </c:strCache>
            </c:strRef>
          </c:tx>
          <c:spPr>
            <a:solidFill>
              <a:srgbClr val="FFFF00"/>
            </a:solidFill>
            <a:ln>
              <a:noFill/>
            </a:ln>
            <a:effectLst/>
          </c:spPr>
          <c:invertIfNegative val="0"/>
          <c:cat>
            <c:strRef>
              <c:f>AnalyseSpecialisationTop20!$E$3:$E$22</c:f>
              <c:strCache>
                <c:ptCount val="20"/>
                <c:pt idx="0">
                  <c:v>1_LSCE</c:v>
                </c:pt>
                <c:pt idx="1">
                  <c:v>1_LOCEAN</c:v>
                </c:pt>
                <c:pt idx="2">
                  <c:v>1_LMD</c:v>
                </c:pt>
                <c:pt idx="3">
                  <c:v>1_CNRM</c:v>
                </c:pt>
                <c:pt idx="4">
                  <c:v>1_IGE</c:v>
                </c:pt>
                <c:pt idx="5">
                  <c:v>1_LATMOS</c:v>
                </c:pt>
                <c:pt idx="6">
                  <c:v>1_LEGOS</c:v>
                </c:pt>
                <c:pt idx="7">
                  <c:v>3_CIRED</c:v>
                </c:pt>
                <c:pt idx="8">
                  <c:v>1_CEREGE</c:v>
                </c:pt>
                <c:pt idx="9">
                  <c:v>2_LOV</c:v>
                </c:pt>
                <c:pt idx="10">
                  <c:v>2_MARBEC</c:v>
                </c:pt>
                <c:pt idx="11">
                  <c:v>2_LIENSs</c:v>
                </c:pt>
                <c:pt idx="12">
                  <c:v>2_IMBE</c:v>
                </c:pt>
                <c:pt idx="13">
                  <c:v>1_HSM</c:v>
                </c:pt>
                <c:pt idx="14">
                  <c:v>1_ISEM</c:v>
                </c:pt>
                <c:pt idx="15">
                  <c:v>1_METIS</c:v>
                </c:pt>
                <c:pt idx="16">
                  <c:v>2_CEFE</c:v>
                </c:pt>
                <c:pt idx="17">
                  <c:v>1_LAERO</c:v>
                </c:pt>
                <c:pt idx="18">
                  <c:v>1_BGS</c:v>
                </c:pt>
                <c:pt idx="19">
                  <c:v>2_GET</c:v>
                </c:pt>
              </c:strCache>
            </c:strRef>
          </c:cat>
          <c:val>
            <c:numRef>
              <c:f>AnalyseSpecialisationTop20!$H$3:$H$22</c:f>
              <c:numCache>
                <c:formatCode>General</c:formatCode>
                <c:ptCount val="20"/>
                <c:pt idx="0">
                  <c:v>76</c:v>
                </c:pt>
                <c:pt idx="1">
                  <c:v>7</c:v>
                </c:pt>
                <c:pt idx="2">
                  <c:v>11</c:v>
                </c:pt>
                <c:pt idx="3">
                  <c:v>11</c:v>
                </c:pt>
                <c:pt idx="4">
                  <c:v>2</c:v>
                </c:pt>
                <c:pt idx="5">
                  <c:v>2</c:v>
                </c:pt>
                <c:pt idx="6">
                  <c:v>2</c:v>
                </c:pt>
                <c:pt idx="7">
                  <c:v>52</c:v>
                </c:pt>
                <c:pt idx="8">
                  <c:v>4</c:v>
                </c:pt>
                <c:pt idx="9">
                  <c:v>3</c:v>
                </c:pt>
                <c:pt idx="10">
                  <c:v>0</c:v>
                </c:pt>
                <c:pt idx="11">
                  <c:v>1</c:v>
                </c:pt>
                <c:pt idx="12">
                  <c:v>5</c:v>
                </c:pt>
                <c:pt idx="13">
                  <c:v>1</c:v>
                </c:pt>
                <c:pt idx="14">
                  <c:v>1</c:v>
                </c:pt>
                <c:pt idx="15">
                  <c:v>1</c:v>
                </c:pt>
                <c:pt idx="16">
                  <c:v>1</c:v>
                </c:pt>
                <c:pt idx="17">
                  <c:v>0</c:v>
                </c:pt>
                <c:pt idx="18">
                  <c:v>0</c:v>
                </c:pt>
                <c:pt idx="19">
                  <c:v>1</c:v>
                </c:pt>
              </c:numCache>
            </c:numRef>
          </c:val>
          <c:extLst>
            <c:ext xmlns:c16="http://schemas.microsoft.com/office/drawing/2014/chart" uri="{C3380CC4-5D6E-409C-BE32-E72D297353CC}">
              <c16:uniqueId val="{00000002-29D8-468B-963E-7495CF31C9E3}"/>
            </c:ext>
          </c:extLst>
        </c:ser>
        <c:dLbls>
          <c:showLegendKey val="0"/>
          <c:showVal val="0"/>
          <c:showCatName val="0"/>
          <c:showSerName val="0"/>
          <c:showPercent val="0"/>
          <c:showBubbleSize val="0"/>
        </c:dLbls>
        <c:gapWidth val="150"/>
        <c:overlap val="100"/>
        <c:axId val="1462305503"/>
        <c:axId val="1462339039"/>
      </c:barChart>
      <c:catAx>
        <c:axId val="146230550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462339039"/>
        <c:crosses val="autoZero"/>
        <c:auto val="1"/>
        <c:lblAlgn val="ctr"/>
        <c:lblOffset val="100"/>
        <c:noMultiLvlLbl val="0"/>
      </c:catAx>
      <c:valAx>
        <c:axId val="1462339039"/>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46230550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GIEC_WOS_International!$B$1</c:f>
              <c:strCache>
                <c:ptCount val="1"/>
                <c:pt idx="0">
                  <c:v>Nombre d'articles qui citent au moins une fois le bailleur</c:v>
                </c:pt>
              </c:strCache>
            </c:strRef>
          </c:tx>
          <c:spPr>
            <a:solidFill>
              <a:srgbClr val="0070C0"/>
            </a:solidFill>
            <a:ln>
              <a:noFill/>
            </a:ln>
            <a:effectLst/>
          </c:spPr>
          <c:invertIfNegative val="0"/>
          <c:cat>
            <c:strRef>
              <c:f>GIEC_WOS_International!$A$2:$A$21</c:f>
              <c:strCache>
                <c:ptCount val="20"/>
                <c:pt idx="0">
                  <c:v>US_NSF</c:v>
                </c:pt>
                <c:pt idx="1">
                  <c:v>UE</c:v>
                </c:pt>
                <c:pt idx="2">
                  <c:v>UK_NERC</c:v>
                </c:pt>
                <c:pt idx="3">
                  <c:v>CN_NSFC</c:v>
                </c:pt>
                <c:pt idx="4">
                  <c:v>US_DOE</c:v>
                </c:pt>
                <c:pt idx="5">
                  <c:v>US_NOAA</c:v>
                </c:pt>
                <c:pt idx="6">
                  <c:v>US_NASA</c:v>
                </c:pt>
                <c:pt idx="7">
                  <c:v>AU_ARC</c:v>
                </c:pt>
                <c:pt idx="8">
                  <c:v>UK_EPSRC</c:v>
                </c:pt>
                <c:pt idx="9">
                  <c:v>DE_DFG</c:v>
                </c:pt>
                <c:pt idx="10">
                  <c:v>DE_BMBF</c:v>
                </c:pt>
                <c:pt idx="11">
                  <c:v>JP_JSPS</c:v>
                </c:pt>
                <c:pt idx="12">
                  <c:v>UK_ESRC</c:v>
                </c:pt>
                <c:pt idx="13">
                  <c:v>CA_NSERC</c:v>
                </c:pt>
                <c:pt idx="14">
                  <c:v>CH_NSF</c:v>
                </c:pt>
                <c:pt idx="15">
                  <c:v>CN_NKP</c:v>
                </c:pt>
                <c:pt idx="16">
                  <c:v>CN_CAS</c:v>
                </c:pt>
                <c:pt idx="17">
                  <c:v>FR_ANR</c:v>
                </c:pt>
                <c:pt idx="18">
                  <c:v>NO_RCN</c:v>
                </c:pt>
                <c:pt idx="19">
                  <c:v>CGIAR</c:v>
                </c:pt>
              </c:strCache>
            </c:strRef>
          </c:cat>
          <c:val>
            <c:numRef>
              <c:f>GIEC_WOS_International!$B$2:$B$21</c:f>
              <c:numCache>
                <c:formatCode>General</c:formatCode>
                <c:ptCount val="20"/>
                <c:pt idx="0">
                  <c:v>3963</c:v>
                </c:pt>
                <c:pt idx="1">
                  <c:v>3869</c:v>
                </c:pt>
                <c:pt idx="2">
                  <c:v>2398</c:v>
                </c:pt>
                <c:pt idx="3">
                  <c:v>1587</c:v>
                </c:pt>
                <c:pt idx="4">
                  <c:v>1367</c:v>
                </c:pt>
                <c:pt idx="5">
                  <c:v>1257</c:v>
                </c:pt>
                <c:pt idx="6">
                  <c:v>983</c:v>
                </c:pt>
                <c:pt idx="7">
                  <c:v>918</c:v>
                </c:pt>
                <c:pt idx="8">
                  <c:v>586</c:v>
                </c:pt>
                <c:pt idx="9">
                  <c:v>583</c:v>
                </c:pt>
                <c:pt idx="10">
                  <c:v>580</c:v>
                </c:pt>
                <c:pt idx="11">
                  <c:v>512</c:v>
                </c:pt>
                <c:pt idx="12">
                  <c:v>500</c:v>
                </c:pt>
                <c:pt idx="13">
                  <c:v>482</c:v>
                </c:pt>
                <c:pt idx="14">
                  <c:v>422</c:v>
                </c:pt>
                <c:pt idx="15">
                  <c:v>390</c:v>
                </c:pt>
                <c:pt idx="16">
                  <c:v>384</c:v>
                </c:pt>
                <c:pt idx="17">
                  <c:v>371</c:v>
                </c:pt>
                <c:pt idx="18">
                  <c:v>369</c:v>
                </c:pt>
                <c:pt idx="19">
                  <c:v>305</c:v>
                </c:pt>
              </c:numCache>
            </c:numRef>
          </c:val>
          <c:extLst>
            <c:ext xmlns:c16="http://schemas.microsoft.com/office/drawing/2014/chart" uri="{C3380CC4-5D6E-409C-BE32-E72D297353CC}">
              <c16:uniqueId val="{00000000-5934-4C22-98AA-BD59C174F1AA}"/>
            </c:ext>
          </c:extLst>
        </c:ser>
        <c:dLbls>
          <c:showLegendKey val="0"/>
          <c:showVal val="0"/>
          <c:showCatName val="0"/>
          <c:showSerName val="0"/>
          <c:showPercent val="0"/>
          <c:showBubbleSize val="0"/>
        </c:dLbls>
        <c:gapWidth val="219"/>
        <c:overlap val="-27"/>
        <c:axId val="332618991"/>
        <c:axId val="329398399"/>
      </c:barChart>
      <c:catAx>
        <c:axId val="3326189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329398399"/>
        <c:crosses val="autoZero"/>
        <c:auto val="1"/>
        <c:lblAlgn val="ctr"/>
        <c:lblOffset val="100"/>
        <c:noMultiLvlLbl val="0"/>
      </c:catAx>
      <c:valAx>
        <c:axId val="32939839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332618991"/>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134270898471558E-2"/>
          <c:y val="3.9618224383216279E-2"/>
          <c:w val="0.91457777664339768"/>
          <c:h val="0.62886345041553759"/>
        </c:manualLayout>
      </c:layout>
      <c:barChart>
        <c:barDir val="col"/>
        <c:grouping val="clustered"/>
        <c:varyColors val="0"/>
        <c:ser>
          <c:idx val="0"/>
          <c:order val="0"/>
          <c:tx>
            <c:strRef>
              <c:f>GIEC_WOS_France!$B$2</c:f>
              <c:strCache>
                <c:ptCount val="1"/>
                <c:pt idx="0">
                  <c:v>Avant 2018</c:v>
                </c:pt>
              </c:strCache>
            </c:strRef>
          </c:tx>
          <c:spPr>
            <a:solidFill>
              <a:schemeClr val="accent1"/>
            </a:solidFill>
            <a:ln>
              <a:noFill/>
            </a:ln>
            <a:effectLst/>
          </c:spPr>
          <c:invertIfNegative val="0"/>
          <c:cat>
            <c:strRef>
              <c:f>GIEC_WOS_France!$A$3:$A$22</c:f>
              <c:strCache>
                <c:ptCount val="20"/>
                <c:pt idx="0">
                  <c:v>UE</c:v>
                </c:pt>
                <c:pt idx="1">
                  <c:v>FR_ANR</c:v>
                </c:pt>
                <c:pt idx="2">
                  <c:v>UK_NERC</c:v>
                </c:pt>
                <c:pt idx="3">
                  <c:v>FR_CNRS</c:v>
                </c:pt>
                <c:pt idx="4">
                  <c:v>US_NSF</c:v>
                </c:pt>
                <c:pt idx="5">
                  <c:v>FR_CNES</c:v>
                </c:pt>
                <c:pt idx="6">
                  <c:v>US_NOAA</c:v>
                </c:pt>
                <c:pt idx="7">
                  <c:v>US_DOE</c:v>
                </c:pt>
                <c:pt idx="8">
                  <c:v>AU_ARC</c:v>
                </c:pt>
                <c:pt idx="9">
                  <c:v>US_NASA</c:v>
                </c:pt>
                <c:pt idx="10">
                  <c:v>CH_NSF</c:v>
                </c:pt>
                <c:pt idx="11">
                  <c:v>FR_ADEME</c:v>
                </c:pt>
                <c:pt idx="12">
                  <c:v>FR_IRD</c:v>
                </c:pt>
                <c:pt idx="13">
                  <c:v>DE_DFG</c:v>
                </c:pt>
                <c:pt idx="14">
                  <c:v>DE_BMBF</c:v>
                </c:pt>
                <c:pt idx="15">
                  <c:v>FR_METEOFRANCE</c:v>
                </c:pt>
                <c:pt idx="16">
                  <c:v>CN_NSFC</c:v>
                </c:pt>
                <c:pt idx="17">
                  <c:v>FR_EDF</c:v>
                </c:pt>
                <c:pt idx="18">
                  <c:v>JP_JSPS</c:v>
                </c:pt>
                <c:pt idx="19">
                  <c:v>NO_RCN</c:v>
                </c:pt>
              </c:strCache>
            </c:strRef>
          </c:cat>
          <c:val>
            <c:numRef>
              <c:f>GIEC_WOS_France!$B$3:$B$22</c:f>
              <c:numCache>
                <c:formatCode>General</c:formatCode>
                <c:ptCount val="20"/>
                <c:pt idx="0">
                  <c:v>223</c:v>
                </c:pt>
                <c:pt idx="1">
                  <c:v>120</c:v>
                </c:pt>
                <c:pt idx="2">
                  <c:v>76</c:v>
                </c:pt>
                <c:pt idx="3">
                  <c:v>71</c:v>
                </c:pt>
                <c:pt idx="4">
                  <c:v>62</c:v>
                </c:pt>
                <c:pt idx="5">
                  <c:v>20</c:v>
                </c:pt>
                <c:pt idx="6">
                  <c:v>23</c:v>
                </c:pt>
                <c:pt idx="7">
                  <c:v>25</c:v>
                </c:pt>
                <c:pt idx="8">
                  <c:v>16</c:v>
                </c:pt>
                <c:pt idx="9">
                  <c:v>14</c:v>
                </c:pt>
                <c:pt idx="10">
                  <c:v>18</c:v>
                </c:pt>
                <c:pt idx="11">
                  <c:v>12</c:v>
                </c:pt>
                <c:pt idx="12">
                  <c:v>11</c:v>
                </c:pt>
                <c:pt idx="13">
                  <c:v>18</c:v>
                </c:pt>
                <c:pt idx="14">
                  <c:v>6</c:v>
                </c:pt>
                <c:pt idx="15">
                  <c:v>13</c:v>
                </c:pt>
                <c:pt idx="16">
                  <c:v>10</c:v>
                </c:pt>
                <c:pt idx="17">
                  <c:v>12</c:v>
                </c:pt>
                <c:pt idx="18">
                  <c:v>13</c:v>
                </c:pt>
                <c:pt idx="19">
                  <c:v>10</c:v>
                </c:pt>
              </c:numCache>
            </c:numRef>
          </c:val>
          <c:extLst>
            <c:ext xmlns:c16="http://schemas.microsoft.com/office/drawing/2014/chart" uri="{C3380CC4-5D6E-409C-BE32-E72D297353CC}">
              <c16:uniqueId val="{00000000-153B-42A4-9F52-1457A5164C88}"/>
            </c:ext>
          </c:extLst>
        </c:ser>
        <c:ser>
          <c:idx val="1"/>
          <c:order val="1"/>
          <c:tx>
            <c:strRef>
              <c:f>GIEC_WOS_France!$C$2</c:f>
              <c:strCache>
                <c:ptCount val="1"/>
                <c:pt idx="0">
                  <c:v>A partir de 2018</c:v>
                </c:pt>
              </c:strCache>
            </c:strRef>
          </c:tx>
          <c:spPr>
            <a:solidFill>
              <a:schemeClr val="accent2"/>
            </a:solidFill>
            <a:ln>
              <a:noFill/>
            </a:ln>
            <a:effectLst/>
          </c:spPr>
          <c:invertIfNegative val="0"/>
          <c:cat>
            <c:strRef>
              <c:f>GIEC_WOS_France!$A$3:$A$22</c:f>
              <c:strCache>
                <c:ptCount val="20"/>
                <c:pt idx="0">
                  <c:v>UE</c:v>
                </c:pt>
                <c:pt idx="1">
                  <c:v>FR_ANR</c:v>
                </c:pt>
                <c:pt idx="2">
                  <c:v>UK_NERC</c:v>
                </c:pt>
                <c:pt idx="3">
                  <c:v>FR_CNRS</c:v>
                </c:pt>
                <c:pt idx="4">
                  <c:v>US_NSF</c:v>
                </c:pt>
                <c:pt idx="5">
                  <c:v>FR_CNES</c:v>
                </c:pt>
                <c:pt idx="6">
                  <c:v>US_NOAA</c:v>
                </c:pt>
                <c:pt idx="7">
                  <c:v>US_DOE</c:v>
                </c:pt>
                <c:pt idx="8">
                  <c:v>AU_ARC</c:v>
                </c:pt>
                <c:pt idx="9">
                  <c:v>US_NASA</c:v>
                </c:pt>
                <c:pt idx="10">
                  <c:v>CH_NSF</c:v>
                </c:pt>
                <c:pt idx="11">
                  <c:v>FR_ADEME</c:v>
                </c:pt>
                <c:pt idx="12">
                  <c:v>FR_IRD</c:v>
                </c:pt>
                <c:pt idx="13">
                  <c:v>DE_DFG</c:v>
                </c:pt>
                <c:pt idx="14">
                  <c:v>DE_BMBF</c:v>
                </c:pt>
                <c:pt idx="15">
                  <c:v>FR_METEOFRANCE</c:v>
                </c:pt>
                <c:pt idx="16">
                  <c:v>CN_NSFC</c:v>
                </c:pt>
                <c:pt idx="17">
                  <c:v>FR_EDF</c:v>
                </c:pt>
                <c:pt idx="18">
                  <c:v>JP_JSPS</c:v>
                </c:pt>
                <c:pt idx="19">
                  <c:v>NO_RCN</c:v>
                </c:pt>
              </c:strCache>
            </c:strRef>
          </c:cat>
          <c:val>
            <c:numRef>
              <c:f>GIEC_WOS_France!$C$3:$C$22</c:f>
              <c:numCache>
                <c:formatCode>General</c:formatCode>
                <c:ptCount val="20"/>
                <c:pt idx="0">
                  <c:v>208</c:v>
                </c:pt>
                <c:pt idx="1">
                  <c:v>149</c:v>
                </c:pt>
                <c:pt idx="2">
                  <c:v>57</c:v>
                </c:pt>
                <c:pt idx="3">
                  <c:v>55</c:v>
                </c:pt>
                <c:pt idx="4">
                  <c:v>42</c:v>
                </c:pt>
                <c:pt idx="5">
                  <c:v>32</c:v>
                </c:pt>
                <c:pt idx="6">
                  <c:v>16</c:v>
                </c:pt>
                <c:pt idx="7">
                  <c:v>11</c:v>
                </c:pt>
                <c:pt idx="8">
                  <c:v>17</c:v>
                </c:pt>
                <c:pt idx="9">
                  <c:v>18</c:v>
                </c:pt>
                <c:pt idx="10">
                  <c:v>12</c:v>
                </c:pt>
                <c:pt idx="11">
                  <c:v>17</c:v>
                </c:pt>
                <c:pt idx="12">
                  <c:v>18</c:v>
                </c:pt>
                <c:pt idx="13">
                  <c:v>10</c:v>
                </c:pt>
                <c:pt idx="14">
                  <c:v>19</c:v>
                </c:pt>
                <c:pt idx="15">
                  <c:v>12</c:v>
                </c:pt>
                <c:pt idx="16">
                  <c:v>11</c:v>
                </c:pt>
                <c:pt idx="17">
                  <c:v>9</c:v>
                </c:pt>
                <c:pt idx="18">
                  <c:v>8</c:v>
                </c:pt>
                <c:pt idx="19">
                  <c:v>11</c:v>
                </c:pt>
              </c:numCache>
            </c:numRef>
          </c:val>
          <c:extLst>
            <c:ext xmlns:c16="http://schemas.microsoft.com/office/drawing/2014/chart" uri="{C3380CC4-5D6E-409C-BE32-E72D297353CC}">
              <c16:uniqueId val="{00000001-153B-42A4-9F52-1457A5164C88}"/>
            </c:ext>
          </c:extLst>
        </c:ser>
        <c:dLbls>
          <c:showLegendKey val="0"/>
          <c:showVal val="0"/>
          <c:showCatName val="0"/>
          <c:showSerName val="0"/>
          <c:showPercent val="0"/>
          <c:showBubbleSize val="0"/>
        </c:dLbls>
        <c:gapWidth val="219"/>
        <c:overlap val="-27"/>
        <c:axId val="407360032"/>
        <c:axId val="415225040"/>
      </c:barChart>
      <c:catAx>
        <c:axId val="4073600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15225040"/>
        <c:crosses val="autoZero"/>
        <c:auto val="1"/>
        <c:lblAlgn val="ctr"/>
        <c:lblOffset val="100"/>
        <c:noMultiLvlLbl val="0"/>
      </c:catAx>
      <c:valAx>
        <c:axId val="4152250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0736003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Synthese!$C$1</c:f>
              <c:strCache>
                <c:ptCount val="1"/>
                <c:pt idx="0">
                  <c:v>Thèses pour l'adaptation</c:v>
                </c:pt>
              </c:strCache>
            </c:strRef>
          </c:tx>
          <c:spPr>
            <a:ln w="28575" cap="rnd">
              <a:solidFill>
                <a:schemeClr val="accent1"/>
              </a:solidFill>
              <a:round/>
            </a:ln>
            <a:effectLst/>
          </c:spPr>
          <c:marker>
            <c:symbol val="none"/>
          </c:marker>
          <c:cat>
            <c:numRef>
              <c:f>Synthese!$A$2:$A$32</c:f>
              <c:numCache>
                <c:formatCode>General</c:formatCode>
                <c:ptCount val="3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numCache>
            </c:numRef>
          </c:cat>
          <c:val>
            <c:numRef>
              <c:f>Synthese!$C$2:$C$32</c:f>
              <c:numCache>
                <c:formatCode>General</c:formatCode>
                <c:ptCount val="31"/>
                <c:pt idx="0">
                  <c:v>35</c:v>
                </c:pt>
                <c:pt idx="1">
                  <c:v>46</c:v>
                </c:pt>
                <c:pt idx="2">
                  <c:v>38</c:v>
                </c:pt>
                <c:pt idx="3">
                  <c:v>44</c:v>
                </c:pt>
                <c:pt idx="4">
                  <c:v>36</c:v>
                </c:pt>
                <c:pt idx="5">
                  <c:v>53</c:v>
                </c:pt>
                <c:pt idx="6">
                  <c:v>64</c:v>
                </c:pt>
                <c:pt idx="7">
                  <c:v>70</c:v>
                </c:pt>
                <c:pt idx="8">
                  <c:v>64</c:v>
                </c:pt>
                <c:pt idx="9">
                  <c:v>56</c:v>
                </c:pt>
                <c:pt idx="10">
                  <c:v>36</c:v>
                </c:pt>
                <c:pt idx="11">
                  <c:v>39</c:v>
                </c:pt>
                <c:pt idx="12">
                  <c:v>35</c:v>
                </c:pt>
                <c:pt idx="13">
                  <c:v>35</c:v>
                </c:pt>
                <c:pt idx="14">
                  <c:v>41</c:v>
                </c:pt>
                <c:pt idx="15">
                  <c:v>60</c:v>
                </c:pt>
                <c:pt idx="16">
                  <c:v>75</c:v>
                </c:pt>
                <c:pt idx="17">
                  <c:v>90</c:v>
                </c:pt>
                <c:pt idx="18">
                  <c:v>109</c:v>
                </c:pt>
                <c:pt idx="19">
                  <c:v>116</c:v>
                </c:pt>
                <c:pt idx="20">
                  <c:v>119</c:v>
                </c:pt>
                <c:pt idx="21">
                  <c:v>156</c:v>
                </c:pt>
                <c:pt idx="22">
                  <c:v>202</c:v>
                </c:pt>
                <c:pt idx="23">
                  <c:v>217</c:v>
                </c:pt>
                <c:pt idx="24">
                  <c:v>197</c:v>
                </c:pt>
                <c:pt idx="25">
                  <c:v>222</c:v>
                </c:pt>
                <c:pt idx="26">
                  <c:v>256</c:v>
                </c:pt>
                <c:pt idx="27">
                  <c:v>257</c:v>
                </c:pt>
                <c:pt idx="28">
                  <c:v>242</c:v>
                </c:pt>
                <c:pt idx="29">
                  <c:v>268</c:v>
                </c:pt>
                <c:pt idx="30">
                  <c:v>246</c:v>
                </c:pt>
              </c:numCache>
            </c:numRef>
          </c:val>
          <c:smooth val="0"/>
          <c:extLst>
            <c:ext xmlns:c16="http://schemas.microsoft.com/office/drawing/2014/chart" uri="{C3380CC4-5D6E-409C-BE32-E72D297353CC}">
              <c16:uniqueId val="{00000000-5A70-4B12-92C9-534873A95348}"/>
            </c:ext>
          </c:extLst>
        </c:ser>
        <c:ser>
          <c:idx val="1"/>
          <c:order val="1"/>
          <c:tx>
            <c:strRef>
              <c:f>Synthese!$D$1</c:f>
              <c:strCache>
                <c:ptCount val="1"/>
                <c:pt idx="0">
                  <c:v>Thèses en adaptation</c:v>
                </c:pt>
              </c:strCache>
            </c:strRef>
          </c:tx>
          <c:spPr>
            <a:ln w="28575" cap="rnd">
              <a:solidFill>
                <a:schemeClr val="accent2"/>
              </a:solidFill>
              <a:round/>
            </a:ln>
            <a:effectLst/>
          </c:spPr>
          <c:marker>
            <c:symbol val="none"/>
          </c:marker>
          <c:cat>
            <c:numRef>
              <c:f>Synthese!$A$2:$A$32</c:f>
              <c:numCache>
                <c:formatCode>General</c:formatCode>
                <c:ptCount val="31"/>
                <c:pt idx="0">
                  <c:v>1990</c:v>
                </c:pt>
                <c:pt idx="1">
                  <c:v>1991</c:v>
                </c:pt>
                <c:pt idx="2">
                  <c:v>1992</c:v>
                </c:pt>
                <c:pt idx="3">
                  <c:v>1993</c:v>
                </c:pt>
                <c:pt idx="4">
                  <c:v>1994</c:v>
                </c:pt>
                <c:pt idx="5">
                  <c:v>1995</c:v>
                </c:pt>
                <c:pt idx="6">
                  <c:v>1996</c:v>
                </c:pt>
                <c:pt idx="7">
                  <c:v>1997</c:v>
                </c:pt>
                <c:pt idx="8">
                  <c:v>1998</c:v>
                </c:pt>
                <c:pt idx="9">
                  <c:v>1999</c:v>
                </c:pt>
                <c:pt idx="10">
                  <c:v>2000</c:v>
                </c:pt>
                <c:pt idx="11">
                  <c:v>2001</c:v>
                </c:pt>
                <c:pt idx="12">
                  <c:v>2002</c:v>
                </c:pt>
                <c:pt idx="13">
                  <c:v>2003</c:v>
                </c:pt>
                <c:pt idx="14">
                  <c:v>2004</c:v>
                </c:pt>
                <c:pt idx="15">
                  <c:v>2005</c:v>
                </c:pt>
                <c:pt idx="16">
                  <c:v>2006</c:v>
                </c:pt>
                <c:pt idx="17">
                  <c:v>2007</c:v>
                </c:pt>
                <c:pt idx="18">
                  <c:v>2008</c:v>
                </c:pt>
                <c:pt idx="19">
                  <c:v>2009</c:v>
                </c:pt>
                <c:pt idx="20">
                  <c:v>2010</c:v>
                </c:pt>
                <c:pt idx="21">
                  <c:v>2011</c:v>
                </c:pt>
                <c:pt idx="22">
                  <c:v>2012</c:v>
                </c:pt>
                <c:pt idx="23">
                  <c:v>2013</c:v>
                </c:pt>
                <c:pt idx="24">
                  <c:v>2014</c:v>
                </c:pt>
                <c:pt idx="25">
                  <c:v>2015</c:v>
                </c:pt>
                <c:pt idx="26">
                  <c:v>2016</c:v>
                </c:pt>
                <c:pt idx="27">
                  <c:v>2017</c:v>
                </c:pt>
                <c:pt idx="28">
                  <c:v>2018</c:v>
                </c:pt>
                <c:pt idx="29">
                  <c:v>2019</c:v>
                </c:pt>
                <c:pt idx="30">
                  <c:v>2020</c:v>
                </c:pt>
              </c:numCache>
            </c:numRef>
          </c:cat>
          <c:val>
            <c:numRef>
              <c:f>Synthese!$D$2:$D$32</c:f>
              <c:numCache>
                <c:formatCode>General</c:formatCode>
                <c:ptCount val="31"/>
                <c:pt idx="0">
                  <c:v>15</c:v>
                </c:pt>
                <c:pt idx="1">
                  <c:v>12</c:v>
                </c:pt>
                <c:pt idx="2">
                  <c:v>18</c:v>
                </c:pt>
                <c:pt idx="3">
                  <c:v>21</c:v>
                </c:pt>
                <c:pt idx="4">
                  <c:v>14</c:v>
                </c:pt>
                <c:pt idx="5">
                  <c:v>25</c:v>
                </c:pt>
                <c:pt idx="6">
                  <c:v>23</c:v>
                </c:pt>
                <c:pt idx="7">
                  <c:v>28</c:v>
                </c:pt>
                <c:pt idx="8">
                  <c:v>26</c:v>
                </c:pt>
                <c:pt idx="9">
                  <c:v>27</c:v>
                </c:pt>
                <c:pt idx="10">
                  <c:v>11</c:v>
                </c:pt>
                <c:pt idx="11">
                  <c:v>17</c:v>
                </c:pt>
                <c:pt idx="12">
                  <c:v>9</c:v>
                </c:pt>
                <c:pt idx="13">
                  <c:v>14</c:v>
                </c:pt>
                <c:pt idx="14">
                  <c:v>18</c:v>
                </c:pt>
                <c:pt idx="15">
                  <c:v>24</c:v>
                </c:pt>
                <c:pt idx="16">
                  <c:v>29</c:v>
                </c:pt>
                <c:pt idx="17">
                  <c:v>26</c:v>
                </c:pt>
                <c:pt idx="18">
                  <c:v>49</c:v>
                </c:pt>
                <c:pt idx="19">
                  <c:v>41</c:v>
                </c:pt>
                <c:pt idx="20">
                  <c:v>51</c:v>
                </c:pt>
                <c:pt idx="21">
                  <c:v>64</c:v>
                </c:pt>
                <c:pt idx="22">
                  <c:v>88</c:v>
                </c:pt>
                <c:pt idx="23">
                  <c:v>98</c:v>
                </c:pt>
                <c:pt idx="24">
                  <c:v>91</c:v>
                </c:pt>
                <c:pt idx="25">
                  <c:v>106</c:v>
                </c:pt>
                <c:pt idx="26">
                  <c:v>117</c:v>
                </c:pt>
                <c:pt idx="27">
                  <c:v>122</c:v>
                </c:pt>
                <c:pt idx="28">
                  <c:v>98</c:v>
                </c:pt>
                <c:pt idx="29">
                  <c:v>111</c:v>
                </c:pt>
                <c:pt idx="30">
                  <c:v>114</c:v>
                </c:pt>
              </c:numCache>
            </c:numRef>
          </c:val>
          <c:smooth val="0"/>
          <c:extLst>
            <c:ext xmlns:c16="http://schemas.microsoft.com/office/drawing/2014/chart" uri="{C3380CC4-5D6E-409C-BE32-E72D297353CC}">
              <c16:uniqueId val="{00000001-5A70-4B12-92C9-534873A95348}"/>
            </c:ext>
          </c:extLst>
        </c:ser>
        <c:dLbls>
          <c:showLegendKey val="0"/>
          <c:showVal val="0"/>
          <c:showCatName val="0"/>
          <c:showSerName val="0"/>
          <c:showPercent val="0"/>
          <c:showBubbleSize val="0"/>
        </c:dLbls>
        <c:smooth val="0"/>
        <c:axId val="1380485616"/>
        <c:axId val="1382727120"/>
      </c:lineChart>
      <c:catAx>
        <c:axId val="1380485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382727120"/>
        <c:crosses val="autoZero"/>
        <c:auto val="1"/>
        <c:lblAlgn val="ctr"/>
        <c:lblOffset val="100"/>
        <c:noMultiLvlLbl val="0"/>
      </c:catAx>
      <c:valAx>
        <c:axId val="1382727120"/>
        <c:scaling>
          <c:logBase val="10"/>
          <c:orientation val="minMax"/>
          <c:max val="12000"/>
          <c:min val="1"/>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3804856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pivotSource>
    <c:name>[IPCC_AR6_data.xlsx]TCD!Tableau croisé dynamique4</c:name>
    <c:fmtId val="-1"/>
  </c:pivotSource>
  <c:chart>
    <c:autoTitleDeleted val="1"/>
    <c:pivotFmts>
      <c:pivotFmt>
        <c:idx val="0"/>
        <c:spPr>
          <a:solidFill>
            <a:schemeClr val="accent1"/>
          </a:solidFill>
          <a:ln>
            <a:noFill/>
          </a:ln>
          <a:effectLst/>
        </c:spPr>
        <c:marker>
          <c:symbol val="none"/>
        </c:marker>
      </c:pivotFmt>
      <c:pivotFmt>
        <c:idx val="1"/>
        <c:spPr>
          <a:solidFill>
            <a:schemeClr val="accent1"/>
          </a:solidFill>
          <a:ln>
            <a:noFill/>
          </a:ln>
          <a:effectLst/>
        </c:spPr>
        <c:marker>
          <c:symbol val="none"/>
        </c:marker>
      </c:pivotFmt>
      <c:pivotFmt>
        <c:idx val="2"/>
        <c:spPr>
          <a:solidFill>
            <a:schemeClr val="accent6"/>
          </a:solidFill>
          <a:ln>
            <a:noFill/>
          </a:ln>
          <a:effectLst/>
        </c:spPr>
        <c:marker>
          <c:symbol val="none"/>
        </c:marker>
      </c:pivotFmt>
      <c:pivotFmt>
        <c:idx val="3"/>
        <c:spPr>
          <a:solidFill>
            <a:srgbClr val="FFFF00"/>
          </a:solidFill>
          <a:ln>
            <a:noFill/>
          </a:ln>
          <a:effectLst/>
        </c:spPr>
        <c:marker>
          <c:symbol val="none"/>
        </c:marker>
      </c:pivotFmt>
      <c:pivotFmt>
        <c:idx val="4"/>
        <c:spPr>
          <a:solidFill>
            <a:schemeClr val="accent1"/>
          </a:solidFill>
          <a:ln>
            <a:noFill/>
          </a:ln>
          <a:effectLst/>
        </c:spPr>
      </c:pivotFmt>
      <c:pivotFmt>
        <c:idx val="5"/>
        <c:spPr>
          <a:solidFill>
            <a:schemeClr val="accent1"/>
          </a:solidFill>
          <a:ln>
            <a:noFill/>
          </a:ln>
          <a:effectLst/>
        </c:spPr>
        <c:marker>
          <c:symbol val="none"/>
        </c:marker>
      </c:pivotFmt>
      <c:pivotFmt>
        <c:idx val="6"/>
        <c:spPr>
          <a:solidFill>
            <a:schemeClr val="accent6"/>
          </a:solidFill>
          <a:ln>
            <a:noFill/>
          </a:ln>
          <a:effectLst/>
        </c:spPr>
        <c:marker>
          <c:symbol val="none"/>
        </c:marker>
      </c:pivotFmt>
      <c:pivotFmt>
        <c:idx val="7"/>
        <c:spPr>
          <a:solidFill>
            <a:srgbClr val="FFFF00"/>
          </a:solidFill>
          <a:ln>
            <a:noFill/>
          </a:ln>
          <a:effectLst/>
        </c:spPr>
        <c:marker>
          <c:symbol val="none"/>
        </c:marker>
      </c:pivotFmt>
      <c:pivotFmt>
        <c:idx val="8"/>
        <c:spPr>
          <a:solidFill>
            <a:schemeClr val="accent1"/>
          </a:solidFill>
          <a:ln>
            <a:noFill/>
          </a:ln>
          <a:effectLst/>
        </c:spPr>
        <c:marker>
          <c:symbol val="none"/>
        </c:marker>
      </c:pivotFmt>
      <c:pivotFmt>
        <c:idx val="9"/>
        <c:spPr>
          <a:solidFill>
            <a:schemeClr val="accent6"/>
          </a:solidFill>
          <a:ln>
            <a:noFill/>
          </a:ln>
          <a:effectLst/>
        </c:spPr>
        <c:marker>
          <c:symbol val="none"/>
        </c:marker>
      </c:pivotFmt>
      <c:pivotFmt>
        <c:idx val="10"/>
        <c:spPr>
          <a:solidFill>
            <a:srgbClr val="FFFF00"/>
          </a:solidFill>
          <a:ln>
            <a:noFill/>
          </a:ln>
          <a:effectLst/>
        </c:spPr>
        <c:marker>
          <c:symbol val="none"/>
        </c:marker>
      </c:pivotFmt>
    </c:pivotFmts>
    <c:plotArea>
      <c:layout/>
      <c:barChart>
        <c:barDir val="col"/>
        <c:grouping val="clustered"/>
        <c:varyColors val="0"/>
        <c:ser>
          <c:idx val="0"/>
          <c:order val="0"/>
          <c:tx>
            <c:strRef>
              <c:f>TCD!$B$4:$B$5</c:f>
              <c:strCache>
                <c:ptCount val="1"/>
                <c:pt idx="0">
                  <c:v>1</c:v>
                </c:pt>
              </c:strCache>
            </c:strRef>
          </c:tx>
          <c:spPr>
            <a:solidFill>
              <a:srgbClr val="002060"/>
            </a:solidFill>
            <a:ln>
              <a:noFill/>
            </a:ln>
            <a:effectLst/>
          </c:spPr>
          <c:invertIfNegative val="0"/>
          <c:cat>
            <c:strRef>
              <c:f>TCD!$A$6:$A$17</c:f>
              <c:strCache>
                <c:ptCount val="11"/>
                <c:pt idx="0">
                  <c:v>USA</c:v>
                </c:pt>
                <c:pt idx="1">
                  <c:v>UK</c:v>
                </c:pt>
                <c:pt idx="2">
                  <c:v>Australia</c:v>
                </c:pt>
                <c:pt idx="3">
                  <c:v>China</c:v>
                </c:pt>
                <c:pt idx="4">
                  <c:v>Germany</c:v>
                </c:pt>
                <c:pt idx="5">
                  <c:v>Japan</c:v>
                </c:pt>
                <c:pt idx="6">
                  <c:v>India</c:v>
                </c:pt>
                <c:pt idx="7">
                  <c:v>France</c:v>
                </c:pt>
                <c:pt idx="8">
                  <c:v>Norway</c:v>
                </c:pt>
                <c:pt idx="9">
                  <c:v>Canada</c:v>
                </c:pt>
                <c:pt idx="10">
                  <c:v>Brazil</c:v>
                </c:pt>
              </c:strCache>
            </c:strRef>
          </c:cat>
          <c:val>
            <c:numRef>
              <c:f>TCD!$B$6:$B$17</c:f>
              <c:numCache>
                <c:formatCode>General</c:formatCode>
                <c:ptCount val="11"/>
                <c:pt idx="0">
                  <c:v>23</c:v>
                </c:pt>
                <c:pt idx="1">
                  <c:v>20</c:v>
                </c:pt>
                <c:pt idx="2">
                  <c:v>11</c:v>
                </c:pt>
                <c:pt idx="3">
                  <c:v>14</c:v>
                </c:pt>
                <c:pt idx="4">
                  <c:v>7</c:v>
                </c:pt>
                <c:pt idx="5">
                  <c:v>7</c:v>
                </c:pt>
                <c:pt idx="6">
                  <c:v>5</c:v>
                </c:pt>
                <c:pt idx="7">
                  <c:v>10</c:v>
                </c:pt>
                <c:pt idx="8">
                  <c:v>6</c:v>
                </c:pt>
                <c:pt idx="9">
                  <c:v>6</c:v>
                </c:pt>
                <c:pt idx="10">
                  <c:v>5</c:v>
                </c:pt>
              </c:numCache>
            </c:numRef>
          </c:val>
          <c:extLst>
            <c:ext xmlns:c16="http://schemas.microsoft.com/office/drawing/2014/chart" uri="{C3380CC4-5D6E-409C-BE32-E72D297353CC}">
              <c16:uniqueId val="{00000000-40C9-4A29-A924-058492864A02}"/>
            </c:ext>
          </c:extLst>
        </c:ser>
        <c:ser>
          <c:idx val="1"/>
          <c:order val="1"/>
          <c:tx>
            <c:strRef>
              <c:f>TCD!$C$4:$C$5</c:f>
              <c:strCache>
                <c:ptCount val="1"/>
                <c:pt idx="0">
                  <c:v>2</c:v>
                </c:pt>
              </c:strCache>
            </c:strRef>
          </c:tx>
          <c:spPr>
            <a:solidFill>
              <a:srgbClr val="00B050"/>
            </a:solidFill>
            <a:ln>
              <a:noFill/>
            </a:ln>
            <a:effectLst/>
          </c:spPr>
          <c:invertIfNegative val="0"/>
          <c:cat>
            <c:strRef>
              <c:f>TCD!$A$6:$A$17</c:f>
              <c:strCache>
                <c:ptCount val="11"/>
                <c:pt idx="0">
                  <c:v>USA</c:v>
                </c:pt>
                <c:pt idx="1">
                  <c:v>UK</c:v>
                </c:pt>
                <c:pt idx="2">
                  <c:v>Australia</c:v>
                </c:pt>
                <c:pt idx="3">
                  <c:v>China</c:v>
                </c:pt>
                <c:pt idx="4">
                  <c:v>Germany</c:v>
                </c:pt>
                <c:pt idx="5">
                  <c:v>Japan</c:v>
                </c:pt>
                <c:pt idx="6">
                  <c:v>India</c:v>
                </c:pt>
                <c:pt idx="7">
                  <c:v>France</c:v>
                </c:pt>
                <c:pt idx="8">
                  <c:v>Norway</c:v>
                </c:pt>
                <c:pt idx="9">
                  <c:v>Canada</c:v>
                </c:pt>
                <c:pt idx="10">
                  <c:v>Brazil</c:v>
                </c:pt>
              </c:strCache>
            </c:strRef>
          </c:cat>
          <c:val>
            <c:numRef>
              <c:f>TCD!$C$6:$C$17</c:f>
              <c:numCache>
                <c:formatCode>General</c:formatCode>
                <c:ptCount val="11"/>
                <c:pt idx="0">
                  <c:v>31</c:v>
                </c:pt>
                <c:pt idx="1">
                  <c:v>22</c:v>
                </c:pt>
                <c:pt idx="2">
                  <c:v>18</c:v>
                </c:pt>
                <c:pt idx="3">
                  <c:v>9</c:v>
                </c:pt>
                <c:pt idx="4">
                  <c:v>13</c:v>
                </c:pt>
                <c:pt idx="5">
                  <c:v>8</c:v>
                </c:pt>
                <c:pt idx="6">
                  <c:v>12</c:v>
                </c:pt>
                <c:pt idx="7">
                  <c:v>8</c:v>
                </c:pt>
                <c:pt idx="8">
                  <c:v>8</c:v>
                </c:pt>
                <c:pt idx="9">
                  <c:v>8</c:v>
                </c:pt>
                <c:pt idx="10">
                  <c:v>6</c:v>
                </c:pt>
              </c:numCache>
            </c:numRef>
          </c:val>
          <c:extLst>
            <c:ext xmlns:c16="http://schemas.microsoft.com/office/drawing/2014/chart" uri="{C3380CC4-5D6E-409C-BE32-E72D297353CC}">
              <c16:uniqueId val="{00000001-40C9-4A29-A924-058492864A02}"/>
            </c:ext>
          </c:extLst>
        </c:ser>
        <c:ser>
          <c:idx val="2"/>
          <c:order val="2"/>
          <c:tx>
            <c:strRef>
              <c:f>TCD!$D$4:$D$5</c:f>
              <c:strCache>
                <c:ptCount val="1"/>
                <c:pt idx="0">
                  <c:v>3</c:v>
                </c:pt>
              </c:strCache>
            </c:strRef>
          </c:tx>
          <c:spPr>
            <a:solidFill>
              <a:srgbClr val="FFFF00"/>
            </a:solidFill>
            <a:ln>
              <a:noFill/>
            </a:ln>
            <a:effectLst/>
          </c:spPr>
          <c:invertIfNegative val="0"/>
          <c:cat>
            <c:strRef>
              <c:f>TCD!$A$6:$A$17</c:f>
              <c:strCache>
                <c:ptCount val="11"/>
                <c:pt idx="0">
                  <c:v>USA</c:v>
                </c:pt>
                <c:pt idx="1">
                  <c:v>UK</c:v>
                </c:pt>
                <c:pt idx="2">
                  <c:v>Australia</c:v>
                </c:pt>
                <c:pt idx="3">
                  <c:v>China</c:v>
                </c:pt>
                <c:pt idx="4">
                  <c:v>Germany</c:v>
                </c:pt>
                <c:pt idx="5">
                  <c:v>Japan</c:v>
                </c:pt>
                <c:pt idx="6">
                  <c:v>India</c:v>
                </c:pt>
                <c:pt idx="7">
                  <c:v>France</c:v>
                </c:pt>
                <c:pt idx="8">
                  <c:v>Norway</c:v>
                </c:pt>
                <c:pt idx="9">
                  <c:v>Canada</c:v>
                </c:pt>
                <c:pt idx="10">
                  <c:v>Brazil</c:v>
                </c:pt>
              </c:strCache>
            </c:strRef>
          </c:cat>
          <c:val>
            <c:numRef>
              <c:f>TCD!$D$6:$D$17</c:f>
              <c:numCache>
                <c:formatCode>General</c:formatCode>
                <c:ptCount val="11"/>
                <c:pt idx="0">
                  <c:v>22</c:v>
                </c:pt>
                <c:pt idx="1">
                  <c:v>17</c:v>
                </c:pt>
                <c:pt idx="2">
                  <c:v>9</c:v>
                </c:pt>
                <c:pt idx="3">
                  <c:v>11</c:v>
                </c:pt>
                <c:pt idx="4">
                  <c:v>12</c:v>
                </c:pt>
                <c:pt idx="5">
                  <c:v>16</c:v>
                </c:pt>
                <c:pt idx="6">
                  <c:v>10</c:v>
                </c:pt>
                <c:pt idx="7">
                  <c:v>5</c:v>
                </c:pt>
                <c:pt idx="8">
                  <c:v>6</c:v>
                </c:pt>
                <c:pt idx="9">
                  <c:v>5</c:v>
                </c:pt>
                <c:pt idx="10">
                  <c:v>8</c:v>
                </c:pt>
              </c:numCache>
            </c:numRef>
          </c:val>
          <c:extLst>
            <c:ext xmlns:c16="http://schemas.microsoft.com/office/drawing/2014/chart" uri="{C3380CC4-5D6E-409C-BE32-E72D297353CC}">
              <c16:uniqueId val="{00000002-40C9-4A29-A924-058492864A02}"/>
            </c:ext>
          </c:extLst>
        </c:ser>
        <c:dLbls>
          <c:showLegendKey val="0"/>
          <c:showVal val="0"/>
          <c:showCatName val="0"/>
          <c:showSerName val="0"/>
          <c:showPercent val="0"/>
          <c:showBubbleSize val="0"/>
        </c:dLbls>
        <c:gapWidth val="150"/>
        <c:axId val="1219660911"/>
        <c:axId val="1180373055"/>
      </c:barChart>
      <c:catAx>
        <c:axId val="12196609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180373055"/>
        <c:crosses val="autoZero"/>
        <c:auto val="1"/>
        <c:lblAlgn val="ctr"/>
        <c:lblOffset val="100"/>
        <c:noMultiLvlLbl val="0"/>
      </c:catAx>
      <c:valAx>
        <c:axId val="118037305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219660911"/>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dropZonesVisible val="1"/>
      </c14:pivotOptions>
    </c:ext>
    <c:ext xmlns:c16="http://schemas.microsoft.com/office/drawing/2014/chart" uri="{E28EC0CA-F0BB-4C9C-879D-F8772B89E7AC}">
      <c16:pivotOptions16>
        <c16:showExpandCollapseFieldButtons val="1"/>
      </c16:pivotOptions16>
    </c:ext>
  </c:extLst>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800649918760156"/>
          <c:y val="3.6712542891524029E-2"/>
          <c:w val="0.80389345271235035"/>
          <c:h val="0.83272207220064465"/>
        </c:manualLayout>
      </c:layout>
      <c:scatterChart>
        <c:scatterStyle val="lineMarker"/>
        <c:varyColors val="0"/>
        <c:ser>
          <c:idx val="0"/>
          <c:order val="0"/>
          <c:tx>
            <c:strRef>
              <c:f>Figure!$E$1</c:f>
              <c:strCache>
                <c:ptCount val="1"/>
                <c:pt idx="0">
                  <c:v>Rayonnement sur le web</c:v>
                </c:pt>
              </c:strCache>
            </c:strRef>
          </c:tx>
          <c:spPr>
            <a:ln w="19050" cap="rnd">
              <a:noFill/>
              <a:round/>
            </a:ln>
            <a:effectLst/>
          </c:spPr>
          <c:marker>
            <c:symbol val="circle"/>
            <c:size val="5"/>
            <c:spPr>
              <a:solidFill>
                <a:schemeClr val="accent1"/>
              </a:solidFill>
              <a:ln w="9525">
                <a:solidFill>
                  <a:schemeClr val="accent1"/>
                </a:solidFill>
              </a:ln>
              <a:effectLst/>
            </c:spPr>
          </c:marker>
          <c:dLbls>
            <c:dLbl>
              <c:idx val="0"/>
              <c:layout>
                <c:manualLayout>
                  <c:x val="-2.7972513536817997E-2"/>
                  <c:y val="-9.1649717632325753E-2"/>
                </c:manualLayout>
              </c:layout>
              <c:tx>
                <c:rich>
                  <a:bodyPr/>
                  <a:lstStyle/>
                  <a:p>
                    <a:fld id="{9C0D1A1D-6B8C-42AB-93A9-3D91E71A0054}"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0-BCE1-4EEE-B3B1-962165DC2B42}"/>
                </c:ext>
              </c:extLst>
            </c:dLbl>
            <c:dLbl>
              <c:idx val="1"/>
              <c:layout>
                <c:manualLayout>
                  <c:x val="-0.15167598999619997"/>
                  <c:y val="-7.4190892204141587E-2"/>
                </c:manualLayout>
              </c:layout>
              <c:tx>
                <c:rich>
                  <a:bodyPr/>
                  <a:lstStyle/>
                  <a:p>
                    <a:fld id="{5C12D7C6-09F6-4F43-B9FB-115350F5EC30}"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BCE1-4EEE-B3B1-962165DC2B42}"/>
                </c:ext>
              </c:extLst>
            </c:dLbl>
            <c:dLbl>
              <c:idx val="2"/>
              <c:layout>
                <c:manualLayout>
                  <c:x val="-8.4125595411684712E-2"/>
                  <c:y val="-7.0072613100246123E-2"/>
                </c:manualLayout>
              </c:layout>
              <c:tx>
                <c:rich>
                  <a:bodyPr/>
                  <a:lstStyle/>
                  <a:p>
                    <a:fld id="{40C5F4B5-4F69-4DF8-B629-2B4719DFA968}"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2-BCE1-4EEE-B3B1-962165DC2B42}"/>
                </c:ext>
              </c:extLst>
            </c:dLbl>
            <c:dLbl>
              <c:idx val="3"/>
              <c:layout>
                <c:manualLayout>
                  <c:x val="-9.2871219380405726E-2"/>
                  <c:y val="-7.0072613100246164E-2"/>
                </c:manualLayout>
              </c:layout>
              <c:tx>
                <c:rich>
                  <a:bodyPr/>
                  <a:lstStyle/>
                  <a:p>
                    <a:fld id="{9E59C10F-0880-44C0-B94D-46120CB62A05}"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BCE1-4EEE-B3B1-962165DC2B42}"/>
                </c:ext>
              </c:extLst>
            </c:dLbl>
            <c:dLbl>
              <c:idx val="4"/>
              <c:layout>
                <c:manualLayout>
                  <c:x val="-0.2739107106561175"/>
                  <c:y val="-3.5218922743785928E-2"/>
                </c:manualLayout>
              </c:layout>
              <c:tx>
                <c:rich>
                  <a:bodyPr/>
                  <a:lstStyle/>
                  <a:p>
                    <a:fld id="{5941CB42-5EF7-4AEC-820F-DFF87E45D331}"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4-BCE1-4EEE-B3B1-962165DC2B42}"/>
                </c:ext>
              </c:extLst>
            </c:dLbl>
            <c:dLbl>
              <c:idx val="5"/>
              <c:layout>
                <c:manualLayout>
                  <c:x val="-0.29953755780527441"/>
                  <c:y val="-3.5978080079143646E-2"/>
                </c:manualLayout>
              </c:layout>
              <c:tx>
                <c:rich>
                  <a:bodyPr/>
                  <a:lstStyle/>
                  <a:p>
                    <a:fld id="{32AE2E83-6F14-4C3F-AC96-797C6822679C}"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BCE1-4EEE-B3B1-962165DC2B42}"/>
                </c:ext>
              </c:extLst>
            </c:dLbl>
            <c:dLbl>
              <c:idx val="6"/>
              <c:layout>
                <c:manualLayout>
                  <c:x val="-0.27742996771868161"/>
                  <c:y val="0.10649034689604768"/>
                </c:manualLayout>
              </c:layout>
              <c:tx>
                <c:rich>
                  <a:bodyPr/>
                  <a:lstStyle/>
                  <a:p>
                    <a:fld id="{0075CB84-9042-4C11-9085-100E2E6E0785}"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6-BCE1-4EEE-B3B1-962165DC2B42}"/>
                </c:ext>
              </c:extLst>
            </c:dLbl>
            <c:dLbl>
              <c:idx val="7"/>
              <c:layout>
                <c:manualLayout>
                  <c:x val="-5.4175046301030552E-2"/>
                  <c:y val="-6.6276826423457405E-2"/>
                </c:manualLayout>
              </c:layout>
              <c:tx>
                <c:rich>
                  <a:bodyPr/>
                  <a:lstStyle/>
                  <a:p>
                    <a:fld id="{A1E6C3BF-5D68-4039-8911-E73538AEEF50}" type="CELLRANGE">
                      <a:rPr lang="en-US"/>
                      <a:pPr/>
                      <a:t>[PLAGECELL]</a:t>
                    </a:fld>
                    <a:endParaRPr lang="fr-FR"/>
                  </a:p>
                </c:rich>
              </c:tx>
              <c:dLblPos val="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7-BCE1-4EEE-B3B1-962165DC2B42}"/>
                </c:ext>
              </c:extLst>
            </c:dLbl>
            <c:dLbl>
              <c:idx val="8"/>
              <c:tx>
                <c:rich>
                  <a:bodyPr/>
                  <a:lstStyle/>
                  <a:p>
                    <a:fld id="{E15FE642-9083-4CAC-A5AD-505EDD12A514}"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8-BCE1-4EEE-B3B1-962165DC2B42}"/>
                </c:ext>
              </c:extLst>
            </c:dLbl>
            <c:dLbl>
              <c:idx val="9"/>
              <c:tx>
                <c:rich>
                  <a:bodyPr/>
                  <a:lstStyle/>
                  <a:p>
                    <a:fld id="{0702ECA5-308E-41E6-9BD6-037292388DEB}" type="CELLRANGE">
                      <a:rPr lang="fr-FR"/>
                      <a:pPr/>
                      <a:t>[PLAGECELL]</a:t>
                    </a:fld>
                    <a:endParaRPr lang="fr-FR"/>
                  </a:p>
                </c:rich>
              </c:tx>
              <c:dLblPos val="t"/>
              <c:showLegendKey val="0"/>
              <c:showVal val="0"/>
              <c:showCatName val="0"/>
              <c:showSerName val="0"/>
              <c:showPercent val="0"/>
              <c:showBubbleSize val="0"/>
              <c:extLst>
                <c:ext xmlns:c15="http://schemas.microsoft.com/office/drawing/2012/chart" uri="{CE6537A1-D6FC-4f65-9D91-7224C49458BB}">
                  <c15:dlblFieldTable/>
                  <c15:xForSave val="1"/>
                  <c15:showDataLabelsRange val="1"/>
                </c:ext>
                <c:ext xmlns:c16="http://schemas.microsoft.com/office/drawing/2014/chart" uri="{C3380CC4-5D6E-409C-BE32-E72D297353CC}">
                  <c16:uniqueId val="{00000009-BCE1-4EEE-B3B1-962165DC2B42}"/>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900" b="0" i="0" u="none" strike="noStrike" kern="1200" baseline="0">
                    <a:solidFill>
                      <a:schemeClr val="dk1">
                        <a:lumMod val="65000"/>
                        <a:lumOff val="35000"/>
                      </a:schemeClr>
                    </a:solidFill>
                    <a:latin typeface="+mn-lt"/>
                    <a:ea typeface="+mn-ea"/>
                    <a:cs typeface="+mn-cs"/>
                  </a:defRPr>
                </a:pPr>
                <a:endParaRPr lang="fr-FR"/>
              </a:p>
            </c:txPr>
            <c:dLblPos val="t"/>
            <c:showLegendKey val="0"/>
            <c:showVal val="0"/>
            <c:showCatName val="0"/>
            <c:showSerName val="0"/>
            <c:showPercent val="0"/>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15:showDataLabelsRange val="1"/>
                <c15:showLeaderLines val="0"/>
              </c:ext>
            </c:extLst>
          </c:dLbls>
          <c:xVal>
            <c:numRef>
              <c:f>Figure!$D$2:$D$11</c:f>
              <c:numCache>
                <c:formatCode>General</c:formatCode>
                <c:ptCount val="10"/>
                <c:pt idx="0">
                  <c:v>2011</c:v>
                </c:pt>
                <c:pt idx="1">
                  <c:v>2023</c:v>
                </c:pt>
                <c:pt idx="2">
                  <c:v>2015</c:v>
                </c:pt>
                <c:pt idx="3">
                  <c:v>2018</c:v>
                </c:pt>
                <c:pt idx="4">
                  <c:v>2015</c:v>
                </c:pt>
                <c:pt idx="5">
                  <c:v>2020</c:v>
                </c:pt>
                <c:pt idx="6">
                  <c:v>2015</c:v>
                </c:pt>
                <c:pt idx="7">
                  <c:v>2022</c:v>
                </c:pt>
                <c:pt idx="8">
                  <c:v>2020</c:v>
                </c:pt>
                <c:pt idx="9">
                  <c:v>2021</c:v>
                </c:pt>
              </c:numCache>
            </c:numRef>
          </c:xVal>
          <c:yVal>
            <c:numRef>
              <c:f>Figure!$E$2:$E$11</c:f>
              <c:numCache>
                <c:formatCode>General</c:formatCode>
                <c:ptCount val="10"/>
                <c:pt idx="0">
                  <c:v>224</c:v>
                </c:pt>
                <c:pt idx="1">
                  <c:v>15</c:v>
                </c:pt>
                <c:pt idx="2">
                  <c:v>112</c:v>
                </c:pt>
                <c:pt idx="3">
                  <c:v>59</c:v>
                </c:pt>
                <c:pt idx="4">
                  <c:v>74</c:v>
                </c:pt>
                <c:pt idx="5">
                  <c:v>13</c:v>
                </c:pt>
                <c:pt idx="6">
                  <c:v>66</c:v>
                </c:pt>
                <c:pt idx="7">
                  <c:v>61</c:v>
                </c:pt>
                <c:pt idx="8">
                  <c:v>0</c:v>
                </c:pt>
                <c:pt idx="9">
                  <c:v>2</c:v>
                </c:pt>
              </c:numCache>
            </c:numRef>
          </c:yVal>
          <c:smooth val="0"/>
          <c:extLst>
            <c:ext xmlns:c15="http://schemas.microsoft.com/office/drawing/2012/chart" uri="{02D57815-91ED-43cb-92C2-25804820EDAC}">
              <c15:datalabelsRange>
                <c15:f>Figure!$C$2:$C$11</c15:f>
                <c15:dlblRangeCache>
                  <c:ptCount val="10"/>
                  <c:pt idx="0">
                    <c:v>AclimaTerra (Nouvelle-Aquitaine)</c:v>
                  </c:pt>
                  <c:pt idx="1">
                    <c:v>GREC Alpes-Auvergne (Auvergne-Rhône-Alpes)</c:v>
                  </c:pt>
                  <c:pt idx="2">
                    <c:v>GREC-Sud (PACA)</c:v>
                  </c:pt>
                  <c:pt idx="3">
                    <c:v>RECO (Occitanie)</c:v>
                  </c:pt>
                  <c:pt idx="4">
                    <c:v>Synergîles (Guadeloupe)</c:v>
                  </c:pt>
                  <c:pt idx="5">
                    <c:v>GREC francilien (Ile-de-France)</c:v>
                  </c:pt>
                  <c:pt idx="6">
                    <c:v>Climibio (Hauts-de-France)</c:v>
                  </c:pt>
                  <c:pt idx="7">
                    <c:v>GIEC normand (Normandie)</c:v>
                  </c:pt>
                  <c:pt idx="8">
                    <c:v>GIEC des Pays de la Loire (Pays de la Loire)</c:v>
                  </c:pt>
                  <c:pt idx="9">
                    <c:v>Haut Conseil Breton pour le Climat (Bretagne)</c:v>
                  </c:pt>
                </c15:dlblRangeCache>
              </c15:datalabelsRange>
            </c:ext>
            <c:ext xmlns:c16="http://schemas.microsoft.com/office/drawing/2014/chart" uri="{C3380CC4-5D6E-409C-BE32-E72D297353CC}">
              <c16:uniqueId val="{0000000A-BCE1-4EEE-B3B1-962165DC2B42}"/>
            </c:ext>
          </c:extLst>
        </c:ser>
        <c:dLbls>
          <c:showLegendKey val="0"/>
          <c:showVal val="0"/>
          <c:showCatName val="0"/>
          <c:showSerName val="0"/>
          <c:showPercent val="0"/>
          <c:showBubbleSize val="0"/>
        </c:dLbls>
        <c:axId val="471198095"/>
        <c:axId val="470288879"/>
      </c:scatterChart>
      <c:valAx>
        <c:axId val="471198095"/>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Année</a:t>
                </a:r>
                <a:r>
                  <a:rPr lang="fr-FR" baseline="0"/>
                  <a:t> de création</a:t>
                </a:r>
                <a:endParaRPr lang="fr-F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70288879"/>
        <c:crosses val="autoZero"/>
        <c:crossBetween val="midCat"/>
      </c:valAx>
      <c:valAx>
        <c:axId val="470288879"/>
        <c:scaling>
          <c:logBase val="10"/>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Nombre de références sur</a:t>
                </a:r>
                <a:r>
                  <a:rPr lang="fr-FR" baseline="0"/>
                  <a:t> Internet</a:t>
                </a:r>
                <a:endParaRPr lang="fr-F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471198095"/>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Figure_AnalyseTemps!$B$2</c:f>
              <c:strCache>
                <c:ptCount val="1"/>
                <c:pt idx="0">
                  <c:v>Rayonnement cumulé</c:v>
                </c:pt>
              </c:strCache>
            </c:strRef>
          </c:tx>
          <c:spPr>
            <a:solidFill>
              <a:schemeClr val="accent1"/>
            </a:solidFill>
            <a:ln>
              <a:noFill/>
            </a:ln>
            <a:effectLst/>
          </c:spPr>
          <c:invertIfNegative val="0"/>
          <c:cat>
            <c:numRef>
              <c:f>Figure_AnalyseTemps!$A$3:$A$15</c:f>
              <c:numCache>
                <c:formatCode>General</c:formatCode>
                <c:ptCount val="13"/>
                <c:pt idx="0">
                  <c:v>2000</c:v>
                </c:pt>
                <c:pt idx="1">
                  <c:v>2008</c:v>
                </c:pt>
                <c:pt idx="2">
                  <c:v>2011</c:v>
                </c:pt>
                <c:pt idx="3">
                  <c:v>2012</c:v>
                </c:pt>
                <c:pt idx="4">
                  <c:v>2015</c:v>
                </c:pt>
                <c:pt idx="5">
                  <c:v>2016</c:v>
                </c:pt>
                <c:pt idx="6">
                  <c:v>2017</c:v>
                </c:pt>
                <c:pt idx="7">
                  <c:v>2018</c:v>
                </c:pt>
                <c:pt idx="8">
                  <c:v>2019</c:v>
                </c:pt>
                <c:pt idx="9">
                  <c:v>2020</c:v>
                </c:pt>
                <c:pt idx="10">
                  <c:v>2021</c:v>
                </c:pt>
                <c:pt idx="11">
                  <c:v>2022</c:v>
                </c:pt>
                <c:pt idx="12">
                  <c:v>2023</c:v>
                </c:pt>
              </c:numCache>
            </c:numRef>
          </c:cat>
          <c:val>
            <c:numRef>
              <c:f>Figure_AnalyseTemps!$B$3:$B$15</c:f>
              <c:numCache>
                <c:formatCode>General</c:formatCode>
                <c:ptCount val="13"/>
                <c:pt idx="0">
                  <c:v>6</c:v>
                </c:pt>
                <c:pt idx="1">
                  <c:v>64</c:v>
                </c:pt>
                <c:pt idx="2">
                  <c:v>0</c:v>
                </c:pt>
                <c:pt idx="3">
                  <c:v>1441</c:v>
                </c:pt>
                <c:pt idx="4">
                  <c:v>66</c:v>
                </c:pt>
                <c:pt idx="5">
                  <c:v>1</c:v>
                </c:pt>
                <c:pt idx="6">
                  <c:v>11</c:v>
                </c:pt>
                <c:pt idx="7">
                  <c:v>157</c:v>
                </c:pt>
                <c:pt idx="8">
                  <c:v>67</c:v>
                </c:pt>
                <c:pt idx="9">
                  <c:v>2946</c:v>
                </c:pt>
                <c:pt idx="10">
                  <c:v>135</c:v>
                </c:pt>
                <c:pt idx="11">
                  <c:v>62</c:v>
                </c:pt>
                <c:pt idx="12">
                  <c:v>26</c:v>
                </c:pt>
              </c:numCache>
            </c:numRef>
          </c:val>
          <c:extLst>
            <c:ext xmlns:c16="http://schemas.microsoft.com/office/drawing/2014/chart" uri="{C3380CC4-5D6E-409C-BE32-E72D297353CC}">
              <c16:uniqueId val="{00000000-CEC9-4F4F-9182-547794E209F9}"/>
            </c:ext>
          </c:extLst>
        </c:ser>
        <c:dLbls>
          <c:showLegendKey val="0"/>
          <c:showVal val="0"/>
          <c:showCatName val="0"/>
          <c:showSerName val="0"/>
          <c:showPercent val="0"/>
          <c:showBubbleSize val="0"/>
        </c:dLbls>
        <c:gapWidth val="75"/>
        <c:overlap val="-25"/>
        <c:axId val="966026640"/>
        <c:axId val="1057320000"/>
      </c:barChart>
      <c:lineChart>
        <c:grouping val="standard"/>
        <c:varyColors val="0"/>
        <c:ser>
          <c:idx val="1"/>
          <c:order val="1"/>
          <c:tx>
            <c:strRef>
              <c:f>Figure_AnalyseTemps!$C$2</c:f>
              <c:strCache>
                <c:ptCount val="1"/>
                <c:pt idx="0">
                  <c:v>Nombre de services créés</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cat>
            <c:numRef>
              <c:f>Figure_AnalyseTemps!$A$3:$A$15</c:f>
              <c:numCache>
                <c:formatCode>General</c:formatCode>
                <c:ptCount val="13"/>
                <c:pt idx="0">
                  <c:v>2000</c:v>
                </c:pt>
                <c:pt idx="1">
                  <c:v>2008</c:v>
                </c:pt>
                <c:pt idx="2">
                  <c:v>2011</c:v>
                </c:pt>
                <c:pt idx="3">
                  <c:v>2012</c:v>
                </c:pt>
                <c:pt idx="4">
                  <c:v>2015</c:v>
                </c:pt>
                <c:pt idx="5">
                  <c:v>2016</c:v>
                </c:pt>
                <c:pt idx="6">
                  <c:v>2017</c:v>
                </c:pt>
                <c:pt idx="7">
                  <c:v>2018</c:v>
                </c:pt>
                <c:pt idx="8">
                  <c:v>2019</c:v>
                </c:pt>
                <c:pt idx="9">
                  <c:v>2020</c:v>
                </c:pt>
                <c:pt idx="10">
                  <c:v>2021</c:v>
                </c:pt>
                <c:pt idx="11">
                  <c:v>2022</c:v>
                </c:pt>
                <c:pt idx="12">
                  <c:v>2023</c:v>
                </c:pt>
              </c:numCache>
            </c:numRef>
          </c:cat>
          <c:val>
            <c:numRef>
              <c:f>Figure_AnalyseTemps!$C$3:$C$15</c:f>
              <c:numCache>
                <c:formatCode>General</c:formatCode>
                <c:ptCount val="13"/>
                <c:pt idx="0">
                  <c:v>1</c:v>
                </c:pt>
                <c:pt idx="1">
                  <c:v>1</c:v>
                </c:pt>
                <c:pt idx="2">
                  <c:v>1</c:v>
                </c:pt>
                <c:pt idx="3">
                  <c:v>2</c:v>
                </c:pt>
                <c:pt idx="4">
                  <c:v>1</c:v>
                </c:pt>
                <c:pt idx="5">
                  <c:v>1</c:v>
                </c:pt>
                <c:pt idx="6">
                  <c:v>2</c:v>
                </c:pt>
                <c:pt idx="7">
                  <c:v>6</c:v>
                </c:pt>
                <c:pt idx="8">
                  <c:v>3</c:v>
                </c:pt>
                <c:pt idx="9">
                  <c:v>10</c:v>
                </c:pt>
                <c:pt idx="10">
                  <c:v>6</c:v>
                </c:pt>
                <c:pt idx="11">
                  <c:v>3</c:v>
                </c:pt>
                <c:pt idx="12">
                  <c:v>2</c:v>
                </c:pt>
              </c:numCache>
            </c:numRef>
          </c:val>
          <c:smooth val="0"/>
          <c:extLst>
            <c:ext xmlns:c16="http://schemas.microsoft.com/office/drawing/2014/chart" uri="{C3380CC4-5D6E-409C-BE32-E72D297353CC}">
              <c16:uniqueId val="{00000001-CEC9-4F4F-9182-547794E209F9}"/>
            </c:ext>
          </c:extLst>
        </c:ser>
        <c:dLbls>
          <c:showLegendKey val="0"/>
          <c:showVal val="0"/>
          <c:showCatName val="0"/>
          <c:showSerName val="0"/>
          <c:showPercent val="0"/>
          <c:showBubbleSize val="0"/>
        </c:dLbls>
        <c:marker val="1"/>
        <c:smooth val="0"/>
        <c:axId val="1059364432"/>
        <c:axId val="1136863392"/>
      </c:lineChart>
      <c:catAx>
        <c:axId val="966026640"/>
        <c:scaling>
          <c:orientation val="minMax"/>
        </c:scaling>
        <c:delete val="0"/>
        <c:axPos val="b"/>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57320000"/>
        <c:crosses val="autoZero"/>
        <c:auto val="1"/>
        <c:lblAlgn val="ctr"/>
        <c:lblOffset val="100"/>
        <c:noMultiLvlLbl val="0"/>
      </c:catAx>
      <c:valAx>
        <c:axId val="10573200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25400" cap="flat" cmpd="sng" algn="ctr">
            <a:no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966026640"/>
        <c:crosses val="autoZero"/>
        <c:crossBetween val="between"/>
      </c:valAx>
      <c:valAx>
        <c:axId val="1136863392"/>
        <c:scaling>
          <c:orientation val="minMax"/>
        </c:scaling>
        <c:delete val="0"/>
        <c:axPos val="r"/>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crossAx val="1059364432"/>
        <c:crosses val="max"/>
        <c:crossBetween val="between"/>
      </c:valAx>
      <c:catAx>
        <c:axId val="1059364432"/>
        <c:scaling>
          <c:orientation val="minMax"/>
        </c:scaling>
        <c:delete val="1"/>
        <c:axPos val="b"/>
        <c:numFmt formatCode="General" sourceLinked="1"/>
        <c:majorTickMark val="out"/>
        <c:minorTickMark val="none"/>
        <c:tickLblPos val="nextTo"/>
        <c:crossAx val="1136863392"/>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0.59684</cdr:x>
      <cdr:y>0</cdr:y>
    </cdr:from>
    <cdr:to>
      <cdr:x>0.82687</cdr:x>
      <cdr:y>0.21419</cdr:y>
    </cdr:to>
    <cdr:sp macro="" textlink="">
      <cdr:nvSpPr>
        <cdr:cNvPr id="2" name="ZoneTexte 1">
          <a:extLst xmlns:a="http://schemas.openxmlformats.org/drawingml/2006/main">
            <a:ext uri="{FF2B5EF4-FFF2-40B4-BE49-F238E27FC236}">
              <a16:creationId xmlns:a16="http://schemas.microsoft.com/office/drawing/2014/main" id="{3ACAAA4C-0BC1-4A01-9D57-9B4549AE6B0E}"/>
            </a:ext>
          </a:extLst>
        </cdr:cNvPr>
        <cdr:cNvSpPr txBox="1"/>
      </cdr:nvSpPr>
      <cdr:spPr>
        <a:xfrm xmlns:a="http://schemas.openxmlformats.org/drawingml/2006/main">
          <a:off x="2363775" y="0"/>
          <a:ext cx="911033" cy="50895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fr-FR" sz="1100"/>
            <a:t>Service C3S </a:t>
          </a:r>
          <a:br>
            <a:rPr lang="fr-FR" sz="1100"/>
          </a:br>
          <a:r>
            <a:rPr lang="fr-FR" sz="1100"/>
            <a:t>de Copernicus</a:t>
          </a:r>
        </a:p>
      </cdr:txBody>
    </cdr:sp>
  </cdr:relSizeAnchor>
  <cdr:relSizeAnchor xmlns:cdr="http://schemas.openxmlformats.org/drawingml/2006/chartDrawing">
    <cdr:from>
      <cdr:x>0.22569</cdr:x>
      <cdr:y>0.39005</cdr:y>
    </cdr:from>
    <cdr:to>
      <cdr:x>0.42569</cdr:x>
      <cdr:y>0.47338</cdr:y>
    </cdr:to>
    <cdr:sp macro="" textlink="">
      <cdr:nvSpPr>
        <cdr:cNvPr id="4" name="ZoneTexte 1">
          <a:extLst xmlns:a="http://schemas.openxmlformats.org/drawingml/2006/main">
            <a:ext uri="{FF2B5EF4-FFF2-40B4-BE49-F238E27FC236}">
              <a16:creationId xmlns:a16="http://schemas.microsoft.com/office/drawing/2014/main" id="{1867316B-098C-4DD6-91F2-2748793A2AE2}"/>
            </a:ext>
          </a:extLst>
        </cdr:cNvPr>
        <cdr:cNvSpPr txBox="1"/>
      </cdr:nvSpPr>
      <cdr:spPr>
        <a:xfrm xmlns:a="http://schemas.openxmlformats.org/drawingml/2006/main">
          <a:off x="1031875" y="1069975"/>
          <a:ext cx="914400" cy="22860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fr-FR" sz="1100"/>
            <a:t>DRIAS Climat</a:t>
          </a:r>
        </a:p>
      </cdr:txBody>
    </cdr:sp>
  </cdr:relSizeAnchor>
</c:userShape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CB593D189AD8453C81A72B74760BBDE2"/>
        <w:category>
          <w:name w:val="Général"/>
          <w:gallery w:val="placeholder"/>
        </w:category>
        <w:types>
          <w:type w:val="bbPlcHdr"/>
        </w:types>
        <w:behaviors>
          <w:behavior w:val="content"/>
        </w:behaviors>
        <w:guid w:val="{72FDA4B2-2448-4104-8634-5C73AC9E06C3}"/>
      </w:docPartPr>
      <w:docPartBody>
        <w:p w:rsidR="00261FB3" w:rsidRDefault="00D87779">
          <w:pPr>
            <w:pStyle w:val="CB593D189AD8453C81A72B74760BBDE2"/>
          </w:pPr>
          <w:r w:rsidRPr="000E673C">
            <w:rPr>
              <w:rStyle w:val="Textedelespacerserv"/>
            </w:rPr>
            <w:t>Click or tap here to enter text.</w:t>
          </w:r>
        </w:p>
      </w:docPartBody>
    </w:docPart>
    <w:docPart>
      <w:docPartPr>
        <w:name w:val="AE5014BD2A13487C93096668F4FDF678"/>
        <w:category>
          <w:name w:val="Général"/>
          <w:gallery w:val="placeholder"/>
        </w:category>
        <w:types>
          <w:type w:val="bbPlcHdr"/>
        </w:types>
        <w:behaviors>
          <w:behavior w:val="content"/>
        </w:behaviors>
        <w:guid w:val="{254FC92F-29F6-41D0-B048-A19524ACCCEA}"/>
      </w:docPartPr>
      <w:docPartBody>
        <w:p w:rsidR="00261FB3" w:rsidRDefault="00D87779">
          <w:pPr>
            <w:pStyle w:val="AE5014BD2A13487C93096668F4FDF678"/>
          </w:pPr>
          <w:r w:rsidRPr="000E673C">
            <w:rPr>
              <w:rStyle w:val="Textedelespacerserv"/>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Gras">
    <w:altName w:val="Arial"/>
    <w:panose1 w:val="020B0704020202020204"/>
    <w:charset w:val="00"/>
    <w:family w:val="roman"/>
    <w:notTrueType/>
    <w:pitch w:val="default"/>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7779"/>
    <w:rsid w:val="00111EEE"/>
    <w:rsid w:val="00127AC5"/>
    <w:rsid w:val="00152925"/>
    <w:rsid w:val="001B035B"/>
    <w:rsid w:val="001E180C"/>
    <w:rsid w:val="00261FB3"/>
    <w:rsid w:val="002A2A3E"/>
    <w:rsid w:val="002B53E9"/>
    <w:rsid w:val="002F7CD8"/>
    <w:rsid w:val="00354ABF"/>
    <w:rsid w:val="003A0CB1"/>
    <w:rsid w:val="003B28AE"/>
    <w:rsid w:val="00411529"/>
    <w:rsid w:val="00444081"/>
    <w:rsid w:val="0047527F"/>
    <w:rsid w:val="00523DB4"/>
    <w:rsid w:val="005503AF"/>
    <w:rsid w:val="005600CE"/>
    <w:rsid w:val="005855A2"/>
    <w:rsid w:val="0059395D"/>
    <w:rsid w:val="005E787A"/>
    <w:rsid w:val="00611D70"/>
    <w:rsid w:val="00616C28"/>
    <w:rsid w:val="00633D65"/>
    <w:rsid w:val="006776AE"/>
    <w:rsid w:val="006F0883"/>
    <w:rsid w:val="007231D2"/>
    <w:rsid w:val="00767B83"/>
    <w:rsid w:val="007B195C"/>
    <w:rsid w:val="007C2EF7"/>
    <w:rsid w:val="007D7003"/>
    <w:rsid w:val="007E4702"/>
    <w:rsid w:val="00864721"/>
    <w:rsid w:val="008A12B6"/>
    <w:rsid w:val="008E6CF3"/>
    <w:rsid w:val="00945B08"/>
    <w:rsid w:val="00966839"/>
    <w:rsid w:val="009C541D"/>
    <w:rsid w:val="009C6C37"/>
    <w:rsid w:val="00A10C9C"/>
    <w:rsid w:val="00A43BF1"/>
    <w:rsid w:val="00AF407E"/>
    <w:rsid w:val="00B53EBA"/>
    <w:rsid w:val="00B60AD5"/>
    <w:rsid w:val="00BA3560"/>
    <w:rsid w:val="00BD7084"/>
    <w:rsid w:val="00C153A3"/>
    <w:rsid w:val="00C377F7"/>
    <w:rsid w:val="00C401D2"/>
    <w:rsid w:val="00C844F2"/>
    <w:rsid w:val="00C90F62"/>
    <w:rsid w:val="00CB2855"/>
    <w:rsid w:val="00D242D2"/>
    <w:rsid w:val="00D359A6"/>
    <w:rsid w:val="00D87779"/>
    <w:rsid w:val="00D923E5"/>
    <w:rsid w:val="00E1569E"/>
    <w:rsid w:val="00E17701"/>
    <w:rsid w:val="00E44526"/>
    <w:rsid w:val="00E93BD0"/>
    <w:rsid w:val="00ED6AFC"/>
    <w:rsid w:val="00F02DBB"/>
    <w:rsid w:val="00F85BD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4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49"/>
    <w:semiHidden/>
    <w:rsid w:val="00633D65"/>
    <w:rPr>
      <w:color w:val="808080"/>
    </w:rPr>
  </w:style>
  <w:style w:type="paragraph" w:customStyle="1" w:styleId="CB593D189AD8453C81A72B74760BBDE2">
    <w:name w:val="CB593D189AD8453C81A72B74760BBDE2"/>
  </w:style>
  <w:style w:type="paragraph" w:customStyle="1" w:styleId="1C1BB66F544D4AB9B3C9494051230EFE">
    <w:name w:val="1C1BB66F544D4AB9B3C9494051230EFE"/>
  </w:style>
  <w:style w:type="paragraph" w:customStyle="1" w:styleId="AE5014BD2A13487C93096668F4FDF678">
    <w:name w:val="AE5014BD2A13487C93096668F4FDF678"/>
  </w:style>
  <w:style w:type="paragraph" w:customStyle="1" w:styleId="9E9F66474B9F4B8F92C37FE35BEA6C9B">
    <w:name w:val="9E9F66474B9F4B8F92C37FE35BEA6C9B"/>
  </w:style>
  <w:style w:type="paragraph" w:customStyle="1" w:styleId="3C9DDA1B76B346D28D7C1F2F5EB58EA0">
    <w:name w:val="3C9DDA1B76B346D28D7C1F2F5EB58EA0"/>
  </w:style>
  <w:style w:type="paragraph" w:customStyle="1" w:styleId="5B02EF1AA4024ACEBFF2DE5BF8AA1B2D">
    <w:name w:val="5B02EF1AA4024ACEBFF2DE5BF8AA1B2D"/>
  </w:style>
  <w:style w:type="paragraph" w:customStyle="1" w:styleId="08326868463A4C6DA257F89E564EB625">
    <w:name w:val="08326868463A4C6DA257F89E564EB625"/>
  </w:style>
  <w:style w:type="paragraph" w:customStyle="1" w:styleId="1AFBE13AA70240BD99A0FE55DD0B5FD5">
    <w:name w:val="1AFBE13AA70240BD99A0FE55DD0B5FD5"/>
    <w:rsid w:val="00633D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Thème Office">
  <a:themeElements>
    <a:clrScheme name="COUR DES COMPTES - Couleur">
      <a:dk1>
        <a:sysClr val="windowText" lastClr="000000"/>
      </a:dk1>
      <a:lt1>
        <a:sysClr val="window" lastClr="FFFFFF"/>
      </a:lt1>
      <a:dk2>
        <a:srgbClr val="000000"/>
      </a:dk2>
      <a:lt2>
        <a:srgbClr val="FFFFFF"/>
      </a:lt2>
      <a:accent1>
        <a:srgbClr val="E6443C"/>
      </a:accent1>
      <a:accent2>
        <a:srgbClr val="A6589A"/>
      </a:accent2>
      <a:accent3>
        <a:srgbClr val="4B97CD"/>
      </a:accent3>
      <a:accent4>
        <a:srgbClr val="2F7F85"/>
      </a:accent4>
      <a:accent5>
        <a:srgbClr val="FABC21"/>
      </a:accent5>
      <a:accent6>
        <a:srgbClr val="D7418D"/>
      </a:accent6>
      <a:hlink>
        <a:srgbClr val="00AEC7"/>
      </a:hlink>
      <a:folHlink>
        <a:srgbClr val="A3C538"/>
      </a:folHlink>
    </a:clrScheme>
    <a:fontScheme name="Cour des comptes">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AccessibilityAssistantData><![CDATA[{"Data":{}}]]></AccessibilityAssistantData>
</file>

<file path=customXml/item4.xml><?xml version="1.0" encoding="utf-8"?>
<TemplafyFormConfiguration><![CDATA[{"formFields":[],"formDataEntries":[]}]]></TemplafyFormConfiguration>
</file>

<file path=customXml/item5.xml><?xml version="1.0" encoding="utf-8"?>
<ct:contentTypeSchema xmlns:ct="http://schemas.microsoft.com/office/2006/metadata/contentType" xmlns:ma="http://schemas.microsoft.com/office/2006/metadata/properties/metaAttributes" ct:_="" ma:_="" ma:contentTypeName="Document" ma:contentTypeID="0x010100D1F3BE868D86DE45907560B272BBA337" ma:contentTypeVersion="0" ma:contentTypeDescription="Crée un document." ma:contentTypeScope="" ma:versionID="1350ceacc78b6a11300ab82797a9c53f">
  <xsd:schema xmlns:xsd="http://www.w3.org/2001/XMLSchema" xmlns:xs="http://www.w3.org/2001/XMLSchema" xmlns:p="http://schemas.microsoft.com/office/2006/metadata/properties" targetNamespace="http://schemas.microsoft.com/office/2006/metadata/properties" ma:root="true" ma:fieldsID="29b941d2d5477821b12ae7385ae973e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TemplafyTemplateConfiguration><![CDATA[{"elementsMetadata":[],"transformationConfigurations":[],"templateName":"MASTER_RIOP","templateDescription":"","enableDocumentContentUpdater":false,"version":"2.0"}]]></TemplafyTemplateConfiguration>
</file>

<file path=customXml/item7.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B0F9DD-13BB-4A23-B0AD-485FA618237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3B8DF8C7-355C-475C-89AF-412BA97FDFFF}">
  <ds:schemaRefs>
    <ds:schemaRef ds:uri="http://schemas.microsoft.com/sharepoint/v3/contenttype/forms"/>
  </ds:schemaRefs>
</ds:datastoreItem>
</file>

<file path=customXml/itemProps3.xml><?xml version="1.0" encoding="utf-8"?>
<ds:datastoreItem xmlns:ds="http://schemas.openxmlformats.org/officeDocument/2006/customXml" ds:itemID="{3A73854C-F3DA-4BEB-BB97-ADC3AC5B0A09}">
  <ds:schemaRefs/>
</ds:datastoreItem>
</file>

<file path=customXml/itemProps4.xml><?xml version="1.0" encoding="utf-8"?>
<ds:datastoreItem xmlns:ds="http://schemas.openxmlformats.org/officeDocument/2006/customXml" ds:itemID="{E0409374-A5AC-48F8-B61A-9FFEE9D3CB54}">
  <ds:schemaRefs/>
</ds:datastoreItem>
</file>

<file path=customXml/itemProps5.xml><?xml version="1.0" encoding="utf-8"?>
<ds:datastoreItem xmlns:ds="http://schemas.openxmlformats.org/officeDocument/2006/customXml" ds:itemID="{3584C50E-66F5-439A-9F1A-61C54024411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6.xml><?xml version="1.0" encoding="utf-8"?>
<ds:datastoreItem xmlns:ds="http://schemas.openxmlformats.org/officeDocument/2006/customXml" ds:itemID="{17498206-7251-4FEB-8D4C-57CC9A237863}">
  <ds:schemaRefs/>
</ds:datastoreItem>
</file>

<file path=customXml/itemProps7.xml><?xml version="1.0" encoding="utf-8"?>
<ds:datastoreItem xmlns:ds="http://schemas.openxmlformats.org/officeDocument/2006/customXml" ds:itemID="{8483C475-BE8B-4ECC-938E-3AA8C8E2A9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RIOP_MASTER_COUR_REVU 10-01-2023.dotx</Template>
  <TotalTime>78</TotalTime>
  <Pages>80</Pages>
  <Words>17012</Words>
  <Characters>93571</Characters>
  <Application>Microsoft Office Word</Application>
  <DocSecurity>0</DocSecurity>
  <Lines>779</Lines>
  <Paragraphs>220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Cour des Comptes</Company>
  <LinksUpToDate>false</LinksUpToDate>
  <CharactersWithSpaces>110363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Chau, Valérie</dc:creator>
  <cp:lastModifiedBy>Moslonka-Lefebvre, Mathieu</cp:lastModifiedBy>
  <cp:revision>16</cp:revision>
  <dcterms:created xsi:type="dcterms:W3CDTF">2023-10-15T14:22:00Z</dcterms:created>
  <dcterms:modified xsi:type="dcterms:W3CDTF">2024-03-05T10:14:00Z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0x010100D1F3BE868D86DE45907560B272BBA337</vt:lpwstr>
  </property>
  <property fmtid="{D5CDD505-2E9C-101B-9397-08002B2CF9AE}" pid="3" name="TemplateType">
    <vt:lpwstr>RIOP1</vt:lpwstr>
  </property>
  <property fmtid="{D5CDD505-2E9C-101B-9397-08002B2CF9AE}" pid="4" name="TemplafyTenantId">
    <vt:lpwstr>courdescomptes</vt:lpwstr>
  </property>
  <property fmtid="{D5CDD505-2E9C-101B-9397-08002B2CF9AE}" pid="5" name="TemplafyTemplateId">
    <vt:lpwstr>637922679882184267</vt:lpwstr>
  </property>
  <property fmtid="{D5CDD505-2E9C-101B-9397-08002B2CF9AE}" pid="6" name="TemplafyUserProfileId">
    <vt:lpwstr>637805149991588445</vt:lpwstr>
  </property>
  <property fmtid="{D5CDD505-2E9C-101B-9397-08002B2CF9AE}" pid="7" name="TemplafyFromBlank">
    <vt:bool>false</vt:bool>
  </property>
</Properties>
</file>